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6.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default" w:ascii="Times New Roman" w:hAnsi="Times New Roman" w:cs="Times New Roman"/>
        </w:rPr>
      </w:pPr>
    </w:p>
    <w:p>
      <w:pPr>
        <w:widowControl/>
        <w:jc w:val="left"/>
        <w:rPr>
          <w:rFonts w:hint="default" w:ascii="Times New Roman" w:hAnsi="Times New Roman" w:cs="Times New Roman"/>
        </w:rPr>
      </w:pPr>
      <w:r>
        <w:rPr>
          <w:rFonts w:hint="default" w:ascii="Times New Roman" w:hAnsi="Times New Roman" w:cs="Times New Roman"/>
        </w:rPr>
        <w:drawing>
          <wp:anchor distT="0" distB="0" distL="114300" distR="114300" simplePos="0" relativeHeight="251665408" behindDoc="0" locked="0" layoutInCell="1" allowOverlap="1">
            <wp:simplePos x="0" y="0"/>
            <wp:positionH relativeFrom="column">
              <wp:posOffset>-406400</wp:posOffset>
            </wp:positionH>
            <wp:positionV relativeFrom="paragraph">
              <wp:posOffset>2153920</wp:posOffset>
            </wp:positionV>
            <wp:extent cx="2159000" cy="1310640"/>
            <wp:effectExtent l="0" t="0" r="12700" b="3810"/>
            <wp:wrapNone/>
            <wp:docPr id="12" name="https://photo-static-api.fotomore.com/creative/vcg/400/new/VCG211393708916.jpg" descr="templates\picture_hover\&amp;pky00203123560_sjzg_VCG211393708916&amp;2&amp;src_toppic_droprecen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ttps://photo-static-api.fotomore.com/creative/vcg/400/new/VCG211393708916.jpg" descr="templates\picture_hover\&amp;pky00203123560_sjzg_VCG211393708916&amp;2&amp;src_toppic_droprecent&amp;"/>
                    <pic:cNvPicPr>
                      <a:picLocks noChangeAspect="1"/>
                    </pic:cNvPicPr>
                  </pic:nvPicPr>
                  <pic:blipFill>
                    <a:blip r:embed="rId10"/>
                    <a:stretch>
                      <a:fillRect/>
                    </a:stretch>
                  </pic:blipFill>
                  <pic:spPr>
                    <a:xfrm>
                      <a:off x="0" y="0"/>
                      <a:ext cx="2159000" cy="1310640"/>
                    </a:xfrm>
                    <a:prstGeom prst="rect">
                      <a:avLst/>
                    </a:prstGeom>
                  </pic:spPr>
                </pic:pic>
              </a:graphicData>
            </a:graphic>
          </wp:anchor>
        </w:drawing>
      </w:r>
      <w:r>
        <w:rPr>
          <w:rFonts w:hint="default" w:ascii="Times New Roman" w:hAnsi="Times New Roman" w:cs="Times New Roman"/>
        </w:rPr>
        <w:drawing>
          <wp:anchor distT="0" distB="0" distL="114300" distR="114300" simplePos="0" relativeHeight="251666432" behindDoc="0" locked="0" layoutInCell="1" allowOverlap="1">
            <wp:simplePos x="0" y="0"/>
            <wp:positionH relativeFrom="column">
              <wp:posOffset>1800860</wp:posOffset>
            </wp:positionH>
            <wp:positionV relativeFrom="paragraph">
              <wp:posOffset>2153920</wp:posOffset>
            </wp:positionV>
            <wp:extent cx="2160270" cy="1310640"/>
            <wp:effectExtent l="0" t="0" r="11430" b="3810"/>
            <wp:wrapNone/>
            <wp:docPr id="14" name="https://photo-static-api.fotomore.com/creative/vcg/400/version23/VCG41520173064.jpg" descr="templates\picture_hover\&amp;pky94109459339_sjzg_VCG41520173064&amp;2&amp;src_toppic_droprecent&amp;"/>
            <wp:cNvGraphicFramePr/>
            <a:graphic xmlns:a="http://schemas.openxmlformats.org/drawingml/2006/main">
              <a:graphicData uri="http://schemas.openxmlformats.org/drawingml/2006/picture">
                <pic:pic xmlns:pic="http://schemas.openxmlformats.org/drawingml/2006/picture">
                  <pic:nvPicPr>
                    <pic:cNvPr id="14" name="https://photo-static-api.fotomore.com/creative/vcg/400/version23/VCG41520173064.jpg" descr="templates\picture_hover\&amp;pky94109459339_sjzg_VCG41520173064&amp;2&amp;src_toppic_droprecent&amp;"/>
                    <pic:cNvPicPr/>
                  </pic:nvPicPr>
                  <pic:blipFill>
                    <a:blip r:embed="rId11"/>
                    <a:stretch>
                      <a:fillRect/>
                    </a:stretch>
                  </pic:blipFill>
                  <pic:spPr>
                    <a:xfrm>
                      <a:off x="0" y="0"/>
                      <a:ext cx="2160270" cy="1310640"/>
                    </a:xfrm>
                    <a:prstGeom prst="rect">
                      <a:avLst/>
                    </a:prstGeom>
                  </pic:spPr>
                </pic:pic>
              </a:graphicData>
            </a:graphic>
          </wp:anchor>
        </w:drawing>
      </w:r>
      <w:r>
        <w:rPr>
          <w:rFonts w:hint="default" w:ascii="Times New Roman" w:hAnsi="Times New Roman" w:cs="Times New Roman"/>
        </w:rPr>
        <w:drawing>
          <wp:anchor distT="0" distB="0" distL="114300" distR="114300" simplePos="0" relativeHeight="251664384" behindDoc="0" locked="0" layoutInCell="1" allowOverlap="1">
            <wp:simplePos x="0" y="0"/>
            <wp:positionH relativeFrom="column">
              <wp:posOffset>4027805</wp:posOffset>
            </wp:positionH>
            <wp:positionV relativeFrom="paragraph">
              <wp:posOffset>2141220</wp:posOffset>
            </wp:positionV>
            <wp:extent cx="2162810" cy="1310640"/>
            <wp:effectExtent l="0" t="0" r="8890" b="3810"/>
            <wp:wrapNone/>
            <wp:docPr id="8" name="https://photo-static-api.fotomore.com/creative/vcg/400/new/VCG41N1489769134.jpg?uid=386&amp;timestamp=1686554386&amp;sign=5f45ccbb5851510551cea00294a903df" descr="templates\picture_hover\&amp;pky17209834312_sjzg_VCG41N1489769134&amp;2&amp;src_toppic_droprecen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ttps://photo-static-api.fotomore.com/creative/vcg/400/new/VCG41N1489769134.jpg?uid=386&amp;timestamp=1686554386&amp;sign=5f45ccbb5851510551cea00294a903df" descr="templates\picture_hover\&amp;pky17209834312_sjzg_VCG41N1489769134&amp;2&amp;src_toppic_droprecent&amp;"/>
                    <pic:cNvPicPr>
                      <a:picLocks noChangeAspect="1"/>
                    </pic:cNvPicPr>
                  </pic:nvPicPr>
                  <pic:blipFill>
                    <a:blip r:embed="rId12"/>
                    <a:stretch>
                      <a:fillRect/>
                    </a:stretch>
                  </pic:blipFill>
                  <pic:spPr>
                    <a:xfrm>
                      <a:off x="0" y="0"/>
                      <a:ext cx="2162810" cy="1310640"/>
                    </a:xfrm>
                    <a:prstGeom prst="rect">
                      <a:avLst/>
                    </a:prstGeom>
                  </pic:spPr>
                </pic:pic>
              </a:graphicData>
            </a:graphic>
          </wp:anchor>
        </w:drawing>
      </w:r>
      <w:r>
        <w:rPr>
          <w:rFonts w:hint="default" w:ascii="Times New Roman" w:hAnsi="Times New Roman" w:cs="Times New Roman"/>
        </w:rPr>
        <mc:AlternateContent>
          <mc:Choice Requires="wpg">
            <w:drawing>
              <wp:anchor distT="0" distB="0" distL="114300" distR="114300" simplePos="0" relativeHeight="251662336" behindDoc="0" locked="0" layoutInCell="1" allowOverlap="1">
                <wp:simplePos x="0" y="0"/>
                <wp:positionH relativeFrom="column">
                  <wp:posOffset>-2783205</wp:posOffset>
                </wp:positionH>
                <wp:positionV relativeFrom="paragraph">
                  <wp:posOffset>2138680</wp:posOffset>
                </wp:positionV>
                <wp:extent cx="9053195" cy="1447165"/>
                <wp:effectExtent l="0" t="0" r="14605" b="635"/>
                <wp:wrapNone/>
                <wp:docPr id="2" name="组合 2"/>
                <wp:cNvGraphicFramePr/>
                <a:graphic xmlns:a="http://schemas.openxmlformats.org/drawingml/2006/main">
                  <a:graphicData uri="http://schemas.microsoft.com/office/word/2010/wordprocessingGroup">
                    <wpg:wgp>
                      <wpg:cNvGrpSpPr/>
                      <wpg:grpSpPr>
                        <a:xfrm>
                          <a:off x="0" y="0"/>
                          <a:ext cx="9053195" cy="1447017"/>
                          <a:chOff x="-3504" y="4387"/>
                          <a:chExt cx="19200" cy="2716"/>
                        </a:xfrm>
                      </wpg:grpSpPr>
                      <wps:wsp>
                        <wps:cNvPr id="3075" name="矩形 19"/>
                        <wps:cNvSpPr/>
                        <wps:spPr>
                          <a:xfrm>
                            <a:off x="-381" y="4387"/>
                            <a:ext cx="1834" cy="2457"/>
                          </a:xfrm>
                          <a:prstGeom prst="rect">
                            <a:avLst/>
                          </a:prstGeom>
                          <a:solidFill>
                            <a:srgbClr val="0176AB"/>
                          </a:solidFill>
                          <a:ln w="9525">
                            <a:noFill/>
                          </a:ln>
                        </wps:spPr>
                        <wps:bodyPr anchor="ctr" anchorCtr="0"/>
                      </wps:wsp>
                      <wps:wsp>
                        <wps:cNvPr id="3079" name="矩形 24"/>
                        <wps:cNvSpPr/>
                        <wps:spPr>
                          <a:xfrm>
                            <a:off x="-3504" y="6953"/>
                            <a:ext cx="11815" cy="150"/>
                          </a:xfrm>
                          <a:custGeom>
                            <a:avLst/>
                            <a:gdLst/>
                            <a:ahLst/>
                            <a:cxnLst>
                              <a:cxn ang="0">
                                <a:pos x="0" y="0"/>
                              </a:cxn>
                              <a:cxn ang="0">
                                <a:pos x="7463453" y="6619"/>
                              </a:cxn>
                              <a:cxn ang="0">
                                <a:pos x="7506490" y="98604"/>
                              </a:cxn>
                              <a:cxn ang="0">
                                <a:pos x="0" y="98604"/>
                              </a:cxn>
                              <a:cxn ang="0">
                                <a:pos x="0" y="0"/>
                              </a:cxn>
                            </a:cxnLst>
                            <a:rect l="0" t="0" r="0" b="0"/>
                            <a:pathLst>
                              <a:path w="7501732" h="94593">
                                <a:moveTo>
                                  <a:pt x="0" y="0"/>
                                </a:moveTo>
                                <a:lnTo>
                                  <a:pt x="7458720" y="6350"/>
                                </a:lnTo>
                                <a:lnTo>
                                  <a:pt x="7501732" y="94593"/>
                                </a:lnTo>
                                <a:lnTo>
                                  <a:pt x="0" y="94593"/>
                                </a:lnTo>
                                <a:lnTo>
                                  <a:pt x="0" y="0"/>
                                </a:lnTo>
                                <a:close/>
                              </a:path>
                            </a:pathLst>
                          </a:custGeom>
                          <a:solidFill>
                            <a:srgbClr val="E5AA57">
                              <a:alpha val="100000"/>
                            </a:srgbClr>
                          </a:solidFill>
                          <a:ln w="9525">
                            <a:noFill/>
                          </a:ln>
                        </wps:spPr>
                        <wps:bodyPr/>
                      </wps:wsp>
                      <wps:wsp>
                        <wps:cNvPr id="3080" name="矩形 25"/>
                        <wps:cNvSpPr/>
                        <wps:spPr>
                          <a:xfrm>
                            <a:off x="8331" y="6953"/>
                            <a:ext cx="7365" cy="150"/>
                          </a:xfrm>
                          <a:custGeom>
                            <a:avLst/>
                            <a:gdLst/>
                            <a:ahLst/>
                            <a:cxnLst>
                              <a:cxn ang="0">
                                <a:pos x="0" y="0"/>
                              </a:cxn>
                              <a:cxn ang="0">
                                <a:pos x="4679715" y="0"/>
                              </a:cxn>
                              <a:cxn ang="0">
                                <a:pos x="4679715" y="98599"/>
                              </a:cxn>
                              <a:cxn ang="0">
                                <a:pos x="57552" y="98599"/>
                              </a:cxn>
                              <a:cxn ang="0">
                                <a:pos x="0" y="0"/>
                              </a:cxn>
                            </a:cxnLst>
                            <a:rect l="0" t="0" r="0" b="0"/>
                            <a:pathLst>
                              <a:path w="4676187" h="94594">
                                <a:moveTo>
                                  <a:pt x="0" y="0"/>
                                </a:moveTo>
                                <a:lnTo>
                                  <a:pt x="4676187" y="0"/>
                                </a:lnTo>
                                <a:lnTo>
                                  <a:pt x="4676187" y="94594"/>
                                </a:lnTo>
                                <a:lnTo>
                                  <a:pt x="57510" y="94594"/>
                                </a:lnTo>
                                <a:lnTo>
                                  <a:pt x="0" y="0"/>
                                </a:lnTo>
                                <a:close/>
                              </a:path>
                            </a:pathLst>
                          </a:custGeom>
                          <a:solidFill>
                            <a:srgbClr val="0176AB">
                              <a:alpha val="100000"/>
                            </a:srgbClr>
                          </a:solidFill>
                          <a:ln w="9525">
                            <a:noFill/>
                          </a:ln>
                        </wps:spPr>
                        <wps:bodyPr/>
                      </wps:wsp>
                    </wpg:wgp>
                  </a:graphicData>
                </a:graphic>
              </wp:anchor>
            </w:drawing>
          </mc:Choice>
          <mc:Fallback>
            <w:pict>
              <v:group id="_x0000_s1026" o:spid="_x0000_s1026" o:spt="203" style="position:absolute;left:0pt;margin-left:-219.15pt;margin-top:168.4pt;height:113.95pt;width:712.85pt;z-index:251662336;mso-width-relative:page;mso-height-relative:page;" coordorigin="-3504,4387" coordsize="19200,2716" o:gfxdata="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">
                <o:lock v:ext="edit" aspectratio="f"/>
                <v:rect id="矩形 19" o:spid="_x0000_s1026" o:spt="1" style="position:absolute;left:-381;top:4387;height:2457;width:1834;v-text-anchor:middle;" fillcolor="#0176AB" filled="t" stroked="f" coordsize="21600,21600" o:gfxdata="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P3v&#10;wAAAAN0AAAAPAAAAAAAAAAEAIAAAACIAAABkcnMvZG93bnJldi54bWxQSwECFAAUAAAACACHTuJA&#10;My8FnjsAAAA5AAAAEAAAAAAAAAABACAAAAAPAQAAZHJzL3NoYXBleG1sLnhtbFBLBQYAAAAABgAG&#10;AFsBAAC5AwAAAAA=&#10;">
                  <v:fill on="t" focussize="0,0"/>
                  <v:stroke on="f"/>
                  <v:imagedata o:title=""/>
                  <o:lock v:ext="edit" aspectratio="f"/>
                </v:rect>
                <v:shape id="矩形 24" o:spid="_x0000_s1026" o:spt="100" style="position:absolute;left:-3504;top:6953;height:150;width:11815;" fillcolor="#E5AA57" filled="t" stroked="f" coordsize="7501732,94593" o:gfxdata="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dX6O&#10;wAAAAN0AAAAPAAAAAAAAAAEAIAAAACIAAABkcnMvZG93bnJldi54bWxQSwECFAAUAAAACACHTuJA&#10;My8FnjsAAAA5AAAAEAAAAAAAAAABACAAAAAPAQAAZHJzL3NoYXBleG1sLnhtbFBLBQYAAAAABgAG&#10;AFsBAAC5AwAAAAA=&#10;" path="m0,0l7458720,6350,7501732,94593,0,94593,0,0xe">
                  <v:path o:connectlocs="0,0;7463453,6619;7506490,98604;0,98604;0,0" o:connectangles="0,0,0,0,0"/>
                  <v:fill on="t" focussize="0,0"/>
                  <v:stroke on="f"/>
                  <v:imagedata o:title=""/>
                  <o:lock v:ext="edit" aspectratio="f"/>
                </v:shape>
                <v:shape id="矩形 25" o:spid="_x0000_s1026" o:spt="100" style="position:absolute;left:8331;top:6953;height:150;width:7365;" fillcolor="#0176AB" filled="t" stroked="f" coordsize="4676187,94594" o:gfxdata="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9GhB25AAAA3QAA&#10;AA8AAAAAAAAAAQAgAAAAIgAAAGRycy9kb3ducmV2LnhtbFBLAQIUABQAAAAIAIdO4kAzLwWeOwAA&#10;ADkAAAAQAAAAAAAAAAEAIAAAAAgBAABkcnMvc2hhcGV4bWwueG1sUEsFBgAAAAAGAAYAWwEAALID&#10;AAAAAA==&#10;" path="m0,0l4676187,0,4676187,94594,57510,94594,0,0xe">
                  <v:path o:connectlocs="0,0;4679715,0;4679715,98599;57552,98599;0,0" o:connectangles="0,0,0,0,0"/>
                  <v:fill on="t" focussize="0,0"/>
                  <v:stroke on="f"/>
                  <v:imagedata o:title=""/>
                  <o:lock v:ext="edit" aspectratio="f"/>
                </v:shape>
              </v:group>
            </w:pict>
          </mc:Fallback>
        </mc:AlternateContent>
      </w:r>
      <w:r>
        <w:rPr>
          <w:rFonts w:hint="default" w:ascii="Times New Roman" w:hAnsi="Times New Roman" w:cs="Times New Roman"/>
        </w:rPr>
        <w:drawing>
          <wp:anchor distT="0" distB="0" distL="114300" distR="114300" simplePos="0" relativeHeight="251659264" behindDoc="1" locked="0" layoutInCell="1" allowOverlap="1">
            <wp:simplePos x="0" y="0"/>
            <wp:positionH relativeFrom="margin">
              <wp:posOffset>-2950210</wp:posOffset>
            </wp:positionH>
            <wp:positionV relativeFrom="margin">
              <wp:posOffset>653415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rPr>
          <w:rFonts w:hint="default" w:ascii="Times New Roman" w:hAnsi="Times New Roman" w:cs="Times New Roman"/>
        </w:rPr>
        <mc:AlternateContent>
          <mc:Choice Requires="wpg">
            <w:drawing>
              <wp:anchor distT="0" distB="0" distL="114300" distR="114300" simplePos="0" relativeHeight="251661312" behindDoc="0" locked="0" layoutInCell="1" allowOverlap="1">
                <wp:simplePos x="0" y="0"/>
                <wp:positionH relativeFrom="column">
                  <wp:posOffset>-280670</wp:posOffset>
                </wp:positionH>
                <wp:positionV relativeFrom="paragraph">
                  <wp:posOffset>-313055</wp:posOffset>
                </wp:positionV>
                <wp:extent cx="5954395" cy="1885315"/>
                <wp:effectExtent l="0" t="0" r="0" b="14605"/>
                <wp:wrapNone/>
                <wp:docPr id="1" name="组合 1"/>
                <wp:cNvGraphicFramePr/>
                <a:graphic xmlns:a="http://schemas.openxmlformats.org/drawingml/2006/main">
                  <a:graphicData uri="http://schemas.microsoft.com/office/word/2010/wordprocessingGroup">
                    <wpg:wgp>
                      <wpg:cNvGrpSpPr/>
                      <wpg:grpSpPr>
                        <a:xfrm>
                          <a:off x="0" y="0"/>
                          <a:ext cx="5954395" cy="1885315"/>
                          <a:chOff x="12098" y="1831"/>
                          <a:chExt cx="9377" cy="2969"/>
                        </a:xfrm>
                      </wpg:grpSpPr>
                      <wps:wsp>
                        <wps:cNvPr id="89" name="文本框 32"/>
                        <wps:cNvSpPr txBox="1"/>
                        <wps:spPr>
                          <a:xfrm>
                            <a:off x="13325" y="1831"/>
                            <a:ext cx="4462" cy="1348"/>
                          </a:xfrm>
                          <a:prstGeom prst="rect">
                            <a:avLst/>
                          </a:prstGeom>
                          <a:noFill/>
                        </wps:spPr>
                        <wps:txbx>
                          <w:txbxContent>
                            <w:p>
                              <w:pPr>
                                <w:jc w:val="distribute"/>
                                <w:rPr>
                                  <w:rFonts w:ascii="微软雅黑" w:hAnsi="Arial" w:eastAsia="微软雅黑" w:cs="Arial"/>
                                  <w:color w:val="000000" w:themeColor="text1"/>
                                  <w:kern w:val="0"/>
                                  <w:sz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微软雅黑" w:hAnsi="Arial" w:eastAsia="微软雅黑" w:cs="Arial"/>
                                  <w:color w:val="000000" w:themeColor="text1"/>
                                  <w:spacing w:val="60"/>
                                  <w:kern w:val="24"/>
                                  <w:sz w:val="72"/>
                                  <w:szCs w:val="7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2023年度</w:t>
                              </w:r>
                            </w:p>
                          </w:txbxContent>
                        </wps:txbx>
                        <wps:bodyPr wrap="square" rtlCol="0">
                          <a:noAutofit/>
                        </wps:bodyPr>
                      </wps:wsp>
                      <wpg:grpSp>
                        <wpg:cNvPr id="6" name="组合 6"/>
                        <wpg:cNvGrpSpPr/>
                        <wpg:grpSpPr>
                          <a:xfrm>
                            <a:off x="12098" y="3193"/>
                            <a:ext cx="9377" cy="1607"/>
                            <a:chOff x="6119" y="2843"/>
                            <a:chExt cx="9377" cy="1607"/>
                          </a:xfrm>
                        </wpg:grpSpPr>
                        <wps:wsp>
                          <wps:cNvPr id="91" name="文本框 32"/>
                          <wps:cNvSpPr txBox="1"/>
                          <wps:spPr>
                            <a:xfrm>
                              <a:off x="6119" y="2843"/>
                              <a:ext cx="9377" cy="1421"/>
                            </a:xfrm>
                            <a:prstGeom prst="rect">
                              <a:avLst/>
                            </a:prstGeom>
                            <a:noFill/>
                          </wps:spPr>
                          <wps:txbx>
                            <w:txbxContent>
                              <w:p>
                                <w:pPr>
                                  <w:jc w:val="left"/>
                                  <w:rPr>
                                    <w:rFonts w:ascii="黑体" w:hAnsi="黑体" w:eastAsia="黑体" w:cs="黑体"/>
                                    <w:color w:val="000000" w:themeColor="text1"/>
                                    <w:kern w:val="0"/>
                                    <w:sz w:val="24"/>
                                    <w:szCs w:val="2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黑体" w:hAnsi="黑体" w:eastAsia="黑体" w:cs="黑体"/>
                                    <w:color w:val="000000" w:themeColor="text1"/>
                                    <w:spacing w:val="60"/>
                                    <w:kern w:val="24"/>
                                    <w:sz w:val="96"/>
                                    <w:szCs w:val="96"/>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部门决算公开文本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_x0000_s1026" o:spid="_x0000_s1026" o:spt="203" style="position:absolute;left:0pt;margin-left:-22.1pt;margin-top:-24.65pt;height:148.45pt;width:468.85pt;z-index:251661312;mso-width-relative:page;mso-height-relative:page;" coordorigin="12098,1831" coordsize="9377,2969" o:gfxdata="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JUHC8XbAAAACwEAAA8AAAAAAAAAAQAgAAAAIgAAAGRycy9kb3ducmV2LnhtbFBLAQIUABQAAAAI&#10;AIdO4kDzQCTKQAMAAEQJAAAOAAAAAAAAAAEAIAAAACoBAABkcnMvZTJvRG9jLnhtbFBLBQYAAAAA&#10;BgAGAFkBAADcBgAAAAA=&#10;">
                <o:lock v:ext="edit" aspectratio="f"/>
                <v:shape id="文本框 32" o:spid="_x0000_s1026" o:spt="202" type="#_x0000_t202" style="position:absolute;left:13325;top:1831;height:1348;width:4462;" filled="f" stroked="f" coordsize="21600,21600" o:gfxdata="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oO67L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distribute"/>
                          <w:rPr>
                            <w:rFonts w:ascii="微软雅黑" w:hAnsi="Arial" w:eastAsia="微软雅黑" w:cs="Arial"/>
                            <w:color w:val="000000" w:themeColor="text1"/>
                            <w:kern w:val="0"/>
                            <w:sz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微软雅黑" w:hAnsi="Arial" w:eastAsia="微软雅黑" w:cs="Arial"/>
                            <w:color w:val="000000" w:themeColor="text1"/>
                            <w:spacing w:val="60"/>
                            <w:kern w:val="24"/>
                            <w:sz w:val="72"/>
                            <w:szCs w:val="7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2023年度</w:t>
                        </w:r>
                      </w:p>
                    </w:txbxContent>
                  </v:textbox>
                </v:shape>
                <v:group id="_x0000_s1026" o:spid="_x0000_s1026" o:spt="203" style="position:absolute;left:12098;top:3193;height:1607;width:9377;" coordorigin="6119,2843" coordsize="9377,1607"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shape id="文本框 32" o:spid="_x0000_s1026" o:spt="202" type="#_x0000_t202" style="position:absolute;left:6119;top:2843;height:1421;width:9377;" filled="f" stroked="f" coordsize="21600,21600" o:gfxdata="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SwgN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left"/>
                            <w:rPr>
                              <w:rFonts w:ascii="黑体" w:hAnsi="黑体" w:eastAsia="黑体" w:cs="黑体"/>
                              <w:color w:val="000000" w:themeColor="text1"/>
                              <w:kern w:val="0"/>
                              <w:sz w:val="24"/>
                              <w:szCs w:val="2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黑体" w:hAnsi="黑体" w:eastAsia="黑体" w:cs="黑体"/>
                              <w:color w:val="000000" w:themeColor="text1"/>
                              <w:spacing w:val="60"/>
                              <w:kern w:val="24"/>
                              <w:sz w:val="96"/>
                              <w:szCs w:val="96"/>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部门决算公开文本</w:t>
                          </w:r>
                        </w:p>
                      </w:txbxContent>
                    </v:textbox>
                  </v:shape>
                  <v:line id="_x0000_s1026" o:spid="_x0000_s1026" o:spt="20" style="position:absolute;left:6226;top:4450;height:0;width:8700;" filled="f" stroked="t" coordsize="21600,21600" o:gfxdata="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M574A&#10;AADaAAAADwAAAAAAAAABACAAAAAiAAAAZHJzL2Rvd25yZXYueG1sUEsBAhQAFAAAAAgAh07iQDMv&#10;BZ47AAAAOQAAABAAAAAAAAAAAQAgAAAADQEAAGRycy9zaGFwZXhtbC54bWxQSwUGAAAAAAYABgBb&#10;AQAAtwMAAAAA&#10;">
                    <v:fill on="f" focussize="0,0"/>
                    <v:stroke weight="2.25pt" color="#325395 [3204]" miterlimit="8" joinstyle="miter" dashstyle="1 1"/>
                    <v:imagedata o:title=""/>
                    <o:lock v:ext="edit" aspectratio="f"/>
                  </v:line>
                </v:group>
              </v:group>
            </w:pict>
          </mc:Fallback>
        </mc:AlternateContent>
      </w:r>
      <w:r>
        <w:rPr>
          <w:rFonts w:hint="default" w:ascii="Times New Roman" w:hAnsi="Times New Roman" w:cs="Times New Roman"/>
        </w:rPr>
        <w:drawing>
          <wp:anchor distT="0" distB="0" distL="114300" distR="114300" simplePos="0" relativeHeight="251663360" behindDoc="0" locked="0" layoutInCell="1" allowOverlap="1">
            <wp:simplePos x="0" y="0"/>
            <wp:positionH relativeFrom="column">
              <wp:posOffset>-95250</wp:posOffset>
            </wp:positionH>
            <wp:positionV relativeFrom="margin">
              <wp:posOffset>-27305</wp:posOffset>
            </wp:positionV>
            <wp:extent cx="506095" cy="506095"/>
            <wp:effectExtent l="0" t="0" r="8255" b="8255"/>
            <wp:wrapNone/>
            <wp:docPr id="3" name="图片 3" descr="32313539313538323b32313539313537353bb5e7c4d4b0ecb9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2313539313538323b32313539313537353bb5e7c4d4b0ecb9ab"/>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506095" cy="506095"/>
                    </a:xfrm>
                    <a:prstGeom prst="rect">
                      <a:avLst/>
                    </a:prstGeom>
                  </pic:spPr>
                </pic:pic>
              </a:graphicData>
            </a:graphic>
          </wp:anchor>
        </w:drawing>
      </w:r>
      <w:r>
        <w:rPr>
          <w:rFonts w:hint="default" w:ascii="Times New Roman" w:hAnsi="Times New Roman" w:cs="Times New Roman"/>
        </w:rPr>
        <mc:AlternateContent>
          <mc:Choice Requires="wps">
            <w:drawing>
              <wp:anchor distT="0" distB="0" distL="114300" distR="114300" simplePos="0" relativeHeight="251660288" behindDoc="0" locked="0" layoutInCell="1" allowOverlap="1">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pPr>
                              <w:jc w:val="distribute"/>
                              <w:rPr>
                                <w:rFonts w:ascii="思源黑体 CN Heavy" w:hAnsi="思源黑体 CN Heavy" w:eastAsia="思源黑体 CN Heavy"/>
                                <w:color w:val="A6A6A6" w:themeColor="background1" w:themeShade="A6"/>
                                <w:kern w:val="0"/>
                                <w:sz w:val="40"/>
                                <w:szCs w:val="40"/>
                              </w:rPr>
                            </w:pPr>
                          </w:p>
                        </w:txbxContent>
                      </wps:txbx>
                      <wps:bodyPr wrap="square" rtlCol="0">
                        <a:noAutofit/>
                      </wps:bodyPr>
                    </wps:wsp>
                  </a:graphicData>
                </a:graphic>
              </wp:anchor>
            </w:drawing>
          </mc:Choice>
          <mc:Fallback>
            <w:pict>
              <v:shape id="文本框 33" o:spid="_x0000_s1026" o:spt="202" type="#_x0000_t202" style="position:absolute;left:0pt;margin-left:-19.95pt;margin-top:126.9pt;height:44.9pt;width:432.6pt;z-index:251660288;mso-width-relative:page;mso-height-relative:page;" filled="f" stroked="f" coordsize="21600,21600" o:gfxdata="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Wallr9gAAAALAQAADwAAAAAAAAABACAAAAAiAAAAZHJzL2Rvd25yZXYueG1sUEsB&#10;AhQAFAAAAAgAh07iQFu9ble8AQAAXwMAAA4AAAAAAAAAAQAgAAAAJwEAAGRycy9lMm9Eb2MueG1s&#10;UEsFBgAAAAAGAAYAWQEAAFUFAAAAAA==&#10;">
                <v:fill on="f" focussize="0,0"/>
                <v:stroke on="f"/>
                <v:imagedata o:title=""/>
                <o:lock v:ext="edit" aspectratio="f"/>
                <v:textbox>
                  <w:txbxContent>
                    <w:p>
                      <w:pPr>
                        <w:jc w:val="distribute"/>
                        <w:rPr>
                          <w:rFonts w:ascii="思源黑体 CN Heavy" w:hAnsi="思源黑体 CN Heavy" w:eastAsia="思源黑体 CN Heavy"/>
                          <w:color w:val="A6A6A6" w:themeColor="background1" w:themeShade="A6"/>
                          <w:kern w:val="0"/>
                          <w:sz w:val="40"/>
                          <w:szCs w:val="40"/>
                        </w:rPr>
                      </w:pPr>
                    </w:p>
                  </w:txbxContent>
                </v:textbox>
              </v:shape>
            </w:pict>
          </mc:Fallback>
        </mc:AlternateContent>
      </w: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spacing w:line="600" w:lineRule="auto"/>
        <w:jc w:val="left"/>
        <w:rPr>
          <w:rFonts w:hint="default" w:ascii="Times New Roman" w:hAnsi="Times New Roman" w:eastAsia="楷体_GB2312" w:cs="Times New Roman"/>
          <w:color w:val="000000"/>
          <w:sz w:val="40"/>
          <w:szCs w:val="40"/>
          <w:lang w:val="en-US" w:eastAsia="zh-CN"/>
        </w:rPr>
      </w:pPr>
      <w:r>
        <w:rPr>
          <w:rFonts w:hint="default" w:ascii="Times New Roman" w:hAnsi="Times New Roman" w:eastAsia="黑体" w:cs="Times New Roman"/>
          <w:color w:val="000000"/>
          <w:sz w:val="40"/>
          <w:szCs w:val="40"/>
        </w:rPr>
        <w:t>预算代码</w:t>
      </w:r>
      <w:r>
        <w:rPr>
          <w:rFonts w:hint="default" w:ascii="Times New Roman" w:hAnsi="Times New Roman" w:eastAsia="楷体_GB2312" w:cs="Times New Roman"/>
          <w:color w:val="000000"/>
          <w:sz w:val="40"/>
          <w:szCs w:val="40"/>
        </w:rPr>
        <w:t>：</w:t>
      </w:r>
      <w:r>
        <w:rPr>
          <w:rFonts w:hint="default" w:ascii="Times New Roman" w:hAnsi="Times New Roman" w:eastAsia="楷体_GB2312" w:cs="Times New Roman"/>
          <w:color w:val="000000"/>
          <w:sz w:val="40"/>
          <w:szCs w:val="40"/>
          <w:lang w:val="en-US" w:eastAsia="zh-CN"/>
        </w:rPr>
        <w:t>237001</w:t>
      </w:r>
    </w:p>
    <w:p>
      <w:pPr>
        <w:spacing w:line="600" w:lineRule="auto"/>
        <w:jc w:val="left"/>
        <w:rPr>
          <w:rFonts w:hint="default" w:ascii="Times New Roman" w:hAnsi="Times New Roman" w:eastAsia="楷体_GB2312" w:cs="Times New Roman"/>
          <w:color w:val="000000"/>
          <w:sz w:val="40"/>
          <w:szCs w:val="40"/>
        </w:rPr>
      </w:pPr>
      <w:r>
        <w:rPr>
          <w:rFonts w:hint="default" w:ascii="Times New Roman" w:hAnsi="Times New Roman" w:eastAsia="黑体" w:cs="Times New Roman"/>
          <w:color w:val="000000"/>
          <w:sz w:val="40"/>
          <w:szCs w:val="40"/>
        </w:rPr>
        <w:t>单位名称</w:t>
      </w:r>
      <w:r>
        <w:rPr>
          <w:rFonts w:hint="default" w:ascii="Times New Roman" w:hAnsi="Times New Roman" w:eastAsia="楷体_GB2312" w:cs="Times New Roman"/>
          <w:color w:val="000000"/>
          <w:sz w:val="40"/>
          <w:szCs w:val="40"/>
        </w:rPr>
        <w:t>：中国共产党廊坊市纪律检查委员会（本级）</w:t>
      </w:r>
    </w:p>
    <w:p>
      <w:pPr>
        <w:spacing w:line="600" w:lineRule="auto"/>
        <w:jc w:val="left"/>
        <w:rPr>
          <w:rFonts w:hint="default" w:ascii="Times New Roman" w:hAnsi="Times New Roman" w:eastAsia="楷体_GB2312" w:cs="Times New Roman"/>
          <w:color w:val="000000"/>
          <w:sz w:val="40"/>
          <w:szCs w:val="40"/>
          <w:lang w:val="en-US" w:eastAsia="zh-CN"/>
        </w:rPr>
      </w:pPr>
    </w:p>
    <w:p>
      <w:pPr>
        <w:spacing w:line="600" w:lineRule="auto"/>
        <w:jc w:val="center"/>
        <w:rPr>
          <w:rFonts w:hint="default" w:ascii="Times New Roman" w:hAnsi="Times New Roman" w:eastAsia="楷体_GB2312" w:cs="Times New Roman"/>
          <w:color w:val="000000"/>
          <w:sz w:val="40"/>
          <w:szCs w:val="40"/>
        </w:rPr>
      </w:pPr>
    </w:p>
    <w:p>
      <w:pPr>
        <w:spacing w:line="600" w:lineRule="auto"/>
        <w:jc w:val="center"/>
        <w:rPr>
          <w:rFonts w:hint="default" w:ascii="Times New Roman" w:hAnsi="Times New Roman" w:eastAsia="楷体_GB2312" w:cs="Times New Roman"/>
          <w:color w:val="000000"/>
          <w:sz w:val="40"/>
          <w:szCs w:val="40"/>
        </w:rPr>
      </w:pPr>
    </w:p>
    <w:p>
      <w:pPr>
        <w:spacing w:line="600" w:lineRule="auto"/>
        <w:jc w:val="both"/>
        <w:rPr>
          <w:rFonts w:hint="default" w:ascii="Times New Roman" w:hAnsi="Times New Roman" w:eastAsia="楷体_GB2312" w:cs="Times New Roman"/>
          <w:color w:val="000000"/>
          <w:sz w:val="40"/>
          <w:szCs w:val="40"/>
        </w:rPr>
      </w:pPr>
    </w:p>
    <w:p>
      <w:pPr>
        <w:spacing w:line="600" w:lineRule="auto"/>
        <w:jc w:val="center"/>
        <w:rPr>
          <w:rFonts w:hint="default" w:ascii="Times New Roman" w:hAnsi="Times New Roman" w:eastAsia="楷体_GB2312" w:cs="Times New Roman"/>
          <w:color w:val="000000"/>
          <w:sz w:val="40"/>
          <w:szCs w:val="40"/>
        </w:rPr>
      </w:pPr>
      <w:r>
        <w:rPr>
          <w:rFonts w:hint="default" w:ascii="Times New Roman" w:hAnsi="Times New Roman" w:eastAsia="楷体_GB2312" w:cs="Times New Roman"/>
          <w:color w:val="000000"/>
          <w:sz w:val="40"/>
          <w:szCs w:val="40"/>
        </w:rPr>
        <w:t>二〇二四年八月</w:t>
      </w:r>
    </w:p>
    <w:p>
      <w:pPr>
        <w:rPr>
          <w:rFonts w:hint="default" w:ascii="Times New Roman" w:hAnsi="Times New Roman" w:eastAsia="楷体_GB2312" w:cs="Times New Roman"/>
          <w:color w:val="000000"/>
          <w:sz w:val="40"/>
          <w:szCs w:val="40"/>
        </w:rPr>
      </w:pPr>
      <w:r>
        <w:rPr>
          <w:rFonts w:hint="default" w:ascii="Times New Roman" w:hAnsi="Times New Roman" w:eastAsia="楷体_GB2312" w:cs="Times New Roman"/>
          <w:color w:val="000000"/>
          <w:sz w:val="40"/>
          <w:szCs w:val="40"/>
        </w:rPr>
        <w:br w:type="page"/>
      </w:r>
    </w:p>
    <w:p>
      <w:pPr>
        <w:spacing w:line="600" w:lineRule="auto"/>
        <w:jc w:val="center"/>
        <w:rPr>
          <w:rFonts w:hint="default" w:ascii="Times New Roman" w:hAnsi="Times New Roman" w:eastAsia="楷体_GB2312" w:cs="Times New Roman"/>
          <w:color w:val="000000"/>
          <w:sz w:val="40"/>
          <w:szCs w:val="40"/>
        </w:rPr>
      </w:pPr>
    </w:p>
    <w:p>
      <w:pPr>
        <w:rPr>
          <w:rFonts w:hint="default" w:ascii="Times New Roman" w:hAnsi="Times New Roman" w:eastAsia="黑体" w:cs="Times New Roman"/>
          <w:b/>
          <w:bCs/>
          <w:sz w:val="32"/>
          <w:szCs w:val="36"/>
          <w:highlight w:val="yellow"/>
        </w:rPr>
      </w:pPr>
    </w:p>
    <w:p>
      <w:pPr>
        <w:rPr>
          <w:rFonts w:hint="default" w:ascii="Times New Roman" w:hAnsi="Times New Roman" w:eastAsia="黑体" w:cs="Times New Roman"/>
          <w:b/>
          <w:bCs/>
          <w:sz w:val="72"/>
          <w:szCs w:val="96"/>
        </w:rPr>
      </w:pPr>
    </w:p>
    <w:p>
      <w:pPr>
        <w:rPr>
          <w:rFonts w:hint="default" w:ascii="Times New Roman" w:hAnsi="Times New Roman" w:eastAsia="黑体" w:cs="Times New Roman"/>
          <w:b/>
          <w:bCs/>
          <w:sz w:val="72"/>
          <w:szCs w:val="96"/>
        </w:rPr>
      </w:pPr>
    </w:p>
    <w:p>
      <w:pPr>
        <w:rPr>
          <w:rFonts w:hint="default" w:ascii="Times New Roman" w:hAnsi="Times New Roman" w:eastAsia="黑体" w:cs="Times New Roman"/>
          <w:b/>
          <w:bCs/>
          <w:sz w:val="72"/>
          <w:szCs w:val="96"/>
        </w:rPr>
      </w:pPr>
      <w:r>
        <w:rPr>
          <w:rFonts w:hint="default" w:ascii="Times New Roman" w:hAnsi="Times New Roman" w:eastAsia="黑体" w:cs="Times New Roman"/>
          <w:b/>
          <w:bCs/>
          <w:sz w:val="72"/>
          <w:szCs w:val="96"/>
        </w:rPr>
        <w:t>2023年度部门决算公开文本</w:t>
      </w:r>
    </w:p>
    <w:p>
      <w:pPr>
        <w:spacing w:line="360" w:lineRule="auto"/>
        <w:jc w:val="center"/>
        <w:rPr>
          <w:rFonts w:hint="default" w:ascii="Times New Roman" w:hAnsi="Times New Roman" w:eastAsia="黑体" w:cs="Times New Roman"/>
          <w:sz w:val="56"/>
          <w:szCs w:val="72"/>
        </w:rPr>
      </w:pPr>
    </w:p>
    <w:p>
      <w:pPr>
        <w:spacing w:line="600" w:lineRule="auto"/>
        <w:jc w:val="center"/>
        <w:rPr>
          <w:rFonts w:hint="default" w:ascii="Times New Roman" w:hAnsi="Times New Roman" w:eastAsia="黑体" w:cs="Times New Roman"/>
          <w:sz w:val="56"/>
          <w:szCs w:val="72"/>
        </w:rPr>
      </w:pPr>
    </w:p>
    <w:p>
      <w:pPr>
        <w:spacing w:line="600" w:lineRule="auto"/>
        <w:jc w:val="center"/>
        <w:rPr>
          <w:rFonts w:hint="default" w:ascii="Times New Roman" w:hAnsi="Times New Roman" w:eastAsia="黑体" w:cs="Times New Roman"/>
          <w:sz w:val="56"/>
          <w:szCs w:val="72"/>
        </w:rPr>
      </w:pPr>
    </w:p>
    <w:p>
      <w:pPr>
        <w:spacing w:line="480" w:lineRule="auto"/>
        <w:jc w:val="both"/>
        <w:rPr>
          <w:rFonts w:hint="default" w:ascii="Times New Roman" w:hAnsi="Times New Roman" w:eastAsia="黑体" w:cs="Times New Roman"/>
          <w:sz w:val="56"/>
          <w:szCs w:val="72"/>
        </w:rPr>
      </w:pPr>
    </w:p>
    <w:p>
      <w:pPr>
        <w:snapToGrid w:val="0"/>
        <w:jc w:val="cente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中国共产党廊坊市纪律检查委员会</w:t>
      </w:r>
    </w:p>
    <w:p>
      <w:pPr>
        <w:snapToGrid w:val="0"/>
        <w:jc w:val="cente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sectPr>
          <w:footerReference r:id="rId3" w:type="default"/>
          <w:pgSz w:w="11906" w:h="16838"/>
          <w:pgMar w:top="1531" w:right="1984" w:bottom="1531" w:left="2098" w:header="851" w:footer="992" w:gutter="0"/>
          <w:pgBorders>
            <w:top w:val="none" w:sz="0" w:space="0"/>
            <w:left w:val="none" w:sz="0" w:space="0"/>
            <w:bottom w:val="none" w:sz="0" w:space="0"/>
            <w:right w:val="none" w:sz="0" w:space="0"/>
          </w:pgBorders>
          <w:cols w:space="720" w:num="1"/>
          <w:docGrid w:type="lines" w:linePitch="312" w:charSpace="0"/>
        </w:sectPr>
      </w:pPr>
      <w: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二〇二四年八月</w:t>
      </w:r>
    </w:p>
    <w:p>
      <w:pPr>
        <w:tabs>
          <w:tab w:val="left" w:pos="2728"/>
        </w:tabs>
        <w:jc w:val="center"/>
        <w:rPr>
          <w:rFonts w:hint="default" w:ascii="Times New Roman" w:hAnsi="Times New Roman" w:eastAsia="黑体" w:cs="Times New Roman"/>
          <w:sz w:val="44"/>
          <w:szCs w:val="44"/>
        </w:rPr>
      </w:pPr>
      <w:r>
        <w:rPr>
          <w:rFonts w:hint="default" w:ascii="Times New Roman" w:hAnsi="Times New Roman" w:eastAsia="黑体" w:cs="Times New Roman"/>
          <w:sz w:val="44"/>
          <w:szCs w:val="44"/>
        </w:rPr>
        <w:t>目    录</w:t>
      </w:r>
    </w:p>
    <w:p>
      <w:pPr>
        <w:widowControl/>
        <w:spacing w:after="160" w:line="580" w:lineRule="exact"/>
        <w:ind w:firstLine="640" w:firstLineChars="200"/>
        <w:rPr>
          <w:rFonts w:hint="default" w:ascii="Times New Roman" w:hAnsi="Times New Roman" w:eastAsia="黑体" w:cs="Times New Roman"/>
          <w:sz w:val="32"/>
          <w:szCs w:val="32"/>
        </w:rPr>
      </w:pPr>
    </w:p>
    <w:p>
      <w:pPr>
        <w:widowControl/>
        <w:spacing w:after="160" w:line="580" w:lineRule="exact"/>
        <w:ind w:firstLine="640" w:firstLineChars="200"/>
        <w:rPr>
          <w:rFonts w:hint="default" w:ascii="Times New Roman" w:hAnsi="Times New Roman" w:eastAsia="仿宋_GB2312" w:cs="Times New Roman"/>
          <w:sz w:val="24"/>
          <w:szCs w:val="32"/>
        </w:rPr>
      </w:pPr>
      <w:r>
        <w:rPr>
          <w:rFonts w:hint="default" w:ascii="Times New Roman" w:hAnsi="Times New Roman" w:eastAsia="黑体" w:cs="Times New Roman"/>
          <w:sz w:val="32"/>
          <w:szCs w:val="32"/>
        </w:rPr>
        <w:t>第一部分   部门概况</w:t>
      </w:r>
    </w:p>
    <w:p>
      <w:pPr>
        <w:widowControl/>
        <w:spacing w:after="160" w:line="580" w:lineRule="exact"/>
        <w:ind w:firstLine="1273" w:firstLineChars="398"/>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一、部门职责</w:t>
      </w:r>
    </w:p>
    <w:p>
      <w:pPr>
        <w:widowControl/>
        <w:spacing w:after="160" w:line="580" w:lineRule="exact"/>
        <w:ind w:firstLine="1273" w:firstLineChars="398"/>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二、机构设置</w:t>
      </w:r>
    </w:p>
    <w:p>
      <w:pPr>
        <w:widowControl/>
        <w:spacing w:after="160" w:line="580" w:lineRule="exact"/>
        <w:ind w:firstLine="640" w:firstLineChars="20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第二部分   2023年度部门决算报表</w:t>
      </w:r>
    </w:p>
    <w:p>
      <w:pPr>
        <w:widowControl/>
        <w:spacing w:after="160" w:line="580" w:lineRule="exact"/>
        <w:ind w:firstLine="1280" w:firstLineChars="4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一、收入支出决算总表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二、收入决算表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四、财政拨款收入支出决算总表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五、一般公共预算财政拨款支出决算表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六、一般公共预算财政拨款基本支出决算明细表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七、政府性基金预算财政拨款收入支出决算表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八、国有资本经营预算财政拨款支出决算表</w:t>
      </w:r>
    </w:p>
    <w:p>
      <w:pPr>
        <w:widowControl/>
        <w:spacing w:after="160" w:line="580" w:lineRule="exact"/>
        <w:ind w:left="640" w:firstLine="640" w:firstLineChars="200"/>
        <w:rPr>
          <w:rFonts w:hint="default" w:ascii="Times New Roman" w:hAnsi="Times New Roman" w:eastAsia="仿宋_GB2312" w:cs="Times New Roman"/>
          <w:sz w:val="20"/>
          <w:szCs w:val="32"/>
        </w:rPr>
      </w:pPr>
      <w:r>
        <w:rPr>
          <w:rFonts w:hint="default" w:ascii="Times New Roman" w:hAnsi="Times New Roman" w:eastAsia="仿宋_GB2312" w:cs="Times New Roman"/>
          <w:sz w:val="32"/>
          <w:szCs w:val="32"/>
        </w:rPr>
        <w:t>九、财政拨款“三公”经费支出决算表</w:t>
      </w:r>
    </w:p>
    <w:p>
      <w:pPr>
        <w:widowControl/>
        <w:spacing w:after="160" w:line="580" w:lineRule="exact"/>
        <w:ind w:firstLine="640" w:firstLineChars="20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第三部分   2023年度部门决算情况说明</w:t>
      </w:r>
    </w:p>
    <w:p>
      <w:pPr>
        <w:widowControl/>
        <w:spacing w:after="160" w:line="580" w:lineRule="exact"/>
        <w:ind w:firstLine="1280" w:firstLineChars="4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一、收入支出决算总体情况说明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二、收入决算情况说明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三、支出决算情况说明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四、财政拨款收入支出决算总体情况说明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五、财政拨款“三公” 经费支出决算情况说明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六、机关运行经费支出说明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七、政府采购支出说明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八、国有资产占用情况说明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九、预算绩效情况说明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十、其他需要说明的情况</w:t>
      </w:r>
    </w:p>
    <w:p>
      <w:pPr>
        <w:widowControl/>
        <w:spacing w:after="160" w:line="580" w:lineRule="exact"/>
        <w:ind w:firstLine="640" w:firstLineChars="200"/>
        <w:rPr>
          <w:rFonts w:hint="default" w:ascii="Times New Roman" w:hAnsi="Times New Roman" w:eastAsia="黑体" w:cs="Times New Roman"/>
          <w:sz w:val="32"/>
          <w:szCs w:val="32"/>
        </w:rPr>
        <w:sectPr>
          <w:headerReference r:id="rId5" w:type="first"/>
          <w:footerReference r:id="rId7" w:type="first"/>
          <w:headerReference r:id="rId4" w:type="default"/>
          <w:footerReference r:id="rId6" w:type="default"/>
          <w:pgSz w:w="11906" w:h="16838"/>
          <w:pgMar w:top="1474" w:right="1531" w:bottom="1474" w:left="1531" w:header="851" w:footer="992" w:gutter="0"/>
          <w:pgBorders>
            <w:top w:val="none" w:sz="0" w:space="0"/>
            <w:left w:val="none" w:sz="0" w:space="0"/>
            <w:bottom w:val="none" w:sz="0" w:space="0"/>
            <w:right w:val="none" w:sz="0" w:space="0"/>
          </w:pgBorders>
          <w:cols w:space="0" w:num="1"/>
          <w:titlePg/>
          <w:docGrid w:type="lines" w:linePitch="312" w:charSpace="0"/>
        </w:sectPr>
      </w:pPr>
      <w:r>
        <w:rPr>
          <w:rFonts w:hint="default" w:ascii="Times New Roman" w:hAnsi="Times New Roman" w:eastAsia="黑体" w:cs="Times New Roman"/>
          <w:sz w:val="32"/>
          <w:szCs w:val="32"/>
        </w:rPr>
        <w:t>第四部分  名词解释</w:t>
      </w:r>
    </w:p>
    <w:p>
      <w:pPr>
        <w:rPr>
          <w:rFonts w:hint="default" w:ascii="Times New Roman" w:hAnsi="Times New Roman" w:eastAsia="Arial" w:cs="Times New Roman"/>
          <w:i w:val="0"/>
          <w:iCs w:val="0"/>
          <w:caps w:val="0"/>
          <w:color w:val="000000"/>
          <w:spacing w:val="0"/>
          <w:sz w:val="18"/>
          <w:szCs w:val="18"/>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 xml:space="preserve">第一部分  </w:t>
      </w:r>
      <w:r>
        <w:rPr>
          <w:rFonts w:hint="default" w:ascii="Times New Roman" w:hAnsi="Times New Roman" w:eastAsia="黑体" w:cs="Times New Roman"/>
          <w:i w:val="0"/>
          <w:iCs w:val="0"/>
          <w:caps w:val="0"/>
          <w:color w:val="000000"/>
          <w:spacing w:val="0"/>
          <w:sz w:val="72"/>
          <w:szCs w:val="72"/>
          <w:highlight w:val="none"/>
          <w:shd w:val="clear" w:fill="FFFFFF"/>
          <w:lang w:eastAsia="zh-CN"/>
        </w:rPr>
        <w:t>单位</w:t>
      </w:r>
      <w:r>
        <w:rPr>
          <w:rFonts w:hint="default" w:ascii="Times New Roman" w:hAnsi="Times New Roman" w:eastAsia="黑体" w:cs="Times New Roman"/>
          <w:i w:val="0"/>
          <w:iCs w:val="0"/>
          <w:caps w:val="0"/>
          <w:color w:val="000000"/>
          <w:spacing w:val="0"/>
          <w:sz w:val="72"/>
          <w:szCs w:val="72"/>
          <w:highlight w:val="none"/>
          <w:shd w:val="clear" w:fill="FFFFFF"/>
        </w:rPr>
        <w:t>概况</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rPr>
          <w:rFonts w:hint="default" w:ascii="Times New Roman" w:hAnsi="Times New Roman" w:eastAsia="黑体" w:cs="Times New Roman"/>
          <w:i w:val="0"/>
          <w:iCs w:val="0"/>
          <w:caps w:val="0"/>
          <w:color w:val="000000"/>
          <w:spacing w:val="0"/>
          <w:sz w:val="33"/>
          <w:szCs w:val="33"/>
          <w:highlight w:val="none"/>
          <w:shd w:val="clear" w:fill="FFFFFF"/>
        </w:rPr>
      </w:pPr>
      <w:r>
        <w:rPr>
          <w:rFonts w:hint="default" w:ascii="Times New Roman" w:hAnsi="Times New Roman" w:eastAsia="黑体" w:cs="Times New Roman"/>
          <w:i w:val="0"/>
          <w:iCs w:val="0"/>
          <w:caps w:val="0"/>
          <w:color w:val="000000"/>
          <w:spacing w:val="0"/>
          <w:sz w:val="33"/>
          <w:szCs w:val="33"/>
          <w:highlight w:val="none"/>
          <w:shd w:val="clear" w:fill="FFFFFF"/>
        </w:rPr>
        <w:br w:type="page"/>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outlineLvl w:val="1"/>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黑体" w:cs="Times New Roman"/>
          <w:i w:val="0"/>
          <w:iCs w:val="0"/>
          <w:caps w:val="0"/>
          <w:color w:val="000000"/>
          <w:spacing w:val="0"/>
          <w:sz w:val="32"/>
          <w:szCs w:val="32"/>
          <w:highlight w:val="none"/>
          <w:shd w:val="clear" w:fill="FFFFFF"/>
        </w:rPr>
        <w:t>一、</w:t>
      </w:r>
      <w:r>
        <w:rPr>
          <w:rFonts w:hint="default" w:ascii="Times New Roman" w:hAnsi="Times New Roman" w:eastAsia="黑体" w:cs="Times New Roman"/>
          <w:i w:val="0"/>
          <w:iCs w:val="0"/>
          <w:caps w:val="0"/>
          <w:color w:val="000000"/>
          <w:spacing w:val="0"/>
          <w:sz w:val="32"/>
          <w:szCs w:val="32"/>
          <w:highlight w:val="none"/>
          <w:shd w:val="clear" w:fill="FFFFFF"/>
          <w:lang w:eastAsia="zh-CN"/>
        </w:rPr>
        <w:t>单位</w:t>
      </w:r>
      <w:r>
        <w:rPr>
          <w:rFonts w:hint="default" w:ascii="Times New Roman" w:hAnsi="Times New Roman" w:eastAsia="黑体" w:cs="Times New Roman"/>
          <w:i w:val="0"/>
          <w:iCs w:val="0"/>
          <w:caps w:val="0"/>
          <w:color w:val="000000"/>
          <w:spacing w:val="0"/>
          <w:sz w:val="32"/>
          <w:szCs w:val="32"/>
          <w:highlight w:val="none"/>
          <w:shd w:val="clear" w:fill="FFFFFF"/>
        </w:rPr>
        <w:t>职责</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20" w:firstLineChars="200"/>
        <w:jc w:val="left"/>
        <w:rPr>
          <w:rFonts w:hint="default" w:ascii="Times New Roman" w:hAnsi="Times New Roman" w:eastAsia="Arial" w:cs="Times New Roman"/>
          <w:i w:val="0"/>
          <w:iCs w:val="0"/>
          <w:caps w:val="0"/>
          <w:color w:val="auto"/>
          <w:spacing w:val="0"/>
          <w:sz w:val="32"/>
          <w:szCs w:val="32"/>
          <w:highlight w:val="yellow"/>
        </w:rPr>
      </w:pPr>
      <w:r>
        <w:rPr>
          <w:rFonts w:hint="default" w:ascii="Times New Roman" w:hAnsi="Times New Roman" w:eastAsia="仿宋_GB2312" w:cs="Times New Roman"/>
          <w:b w:val="0"/>
          <w:bCs w:val="0"/>
          <w:color w:val="000000"/>
          <w:sz w:val="31"/>
          <w:szCs w:val="31"/>
        </w:rPr>
        <w:t>（一）主管全市党的纪律检查工作。（二）主管全市行政监察工作。（三）负责检查并处理市委、市政府机关及其各部门、各县 （市、区）党的组织和市委管理的党员领导干部违反党的章程及其党内法规的案件，决定或取消对这些案件中的党员的处分；受理党员的控告和申诉，必要时直接查处下级党的纪律检查机关管 辖范围内的比较重大或复杂的案件。（四）负责调查处理市政府各部门及其工作人员，各县（市、区）人民政府及其主要负责人违反国家政策、法律、法规以及违反政纪的行为，并对责任人做出撤职及撤职以下的行政处分（涉及选举产生的领导干部按法定程序办理）；受理监察对象的申诉；受理个人或单位对违纪行为的检举和控告。（五）制定全市党风党纪教育规划。（六）负责对党的纪律检查和行政监察工作理论及有关问题进行调查研究，拟制和参与制定党纪、政纪条规。（七）调查研究市政府各部门和地方政府制定的有关政策、法规情况，对其违反国家法律和上级规定的条款，提出修改意见；变更或撤销各县（市、区）及其以下行政监察机关不适当的决定和规定。（八）按照省纪委和省委组织部下达的有关文件规定，管理市直单位和县（市、区）纪检监察干部，组织和指导全市纪检监察干部的培训工作。（九）承办市委、市政府及上级纪检监察机关授权和交办的其他工作。</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outlineLvl w:val="1"/>
        <w:rPr>
          <w:rFonts w:hint="default" w:ascii="Times New Roman" w:hAnsi="Times New Roman" w:eastAsia="Arial" w:cs="Times New Roman"/>
          <w:i w:val="0"/>
          <w:iCs w:val="0"/>
          <w:caps w:val="0"/>
          <w:color w:val="000000"/>
          <w:spacing w:val="0"/>
          <w:sz w:val="32"/>
          <w:szCs w:val="32"/>
          <w:highlight w:val="none"/>
        </w:rPr>
      </w:pPr>
      <w:r>
        <w:rPr>
          <w:rFonts w:hint="default" w:ascii="Times New Roman" w:hAnsi="Times New Roman" w:eastAsia="黑体" w:cs="Times New Roman"/>
          <w:i w:val="0"/>
          <w:iCs w:val="0"/>
          <w:caps w:val="0"/>
          <w:color w:val="000000"/>
          <w:spacing w:val="0"/>
          <w:sz w:val="32"/>
          <w:szCs w:val="32"/>
          <w:highlight w:val="none"/>
          <w:shd w:val="clear" w:fill="FFFFFF"/>
        </w:rPr>
        <w:t>二、机构设置</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rPr>
          <w:rFonts w:hint="default" w:ascii="Times New Roman" w:hAnsi="Times New Roman" w:eastAsia="仿宋_GB2312" w:cs="Times New Roman"/>
          <w:i w:val="0"/>
          <w:iCs w:val="0"/>
          <w:caps w:val="0"/>
          <w:color w:val="auto"/>
          <w:spacing w:val="0"/>
          <w:sz w:val="32"/>
          <w:szCs w:val="32"/>
          <w:highlight w:val="none"/>
          <w:shd w:val="clear" w:fill="FFFFFF"/>
        </w:rPr>
      </w:pPr>
      <w:r>
        <w:rPr>
          <w:rFonts w:hint="default" w:ascii="Times New Roman" w:hAnsi="Times New Roman" w:eastAsia="仿宋_GB2312" w:cs="Times New Roman"/>
          <w:i w:val="0"/>
          <w:iCs w:val="0"/>
          <w:caps w:val="0"/>
          <w:color w:val="auto"/>
          <w:spacing w:val="0"/>
          <w:sz w:val="32"/>
          <w:szCs w:val="32"/>
          <w:highlight w:val="none"/>
          <w:shd w:val="clear" w:fill="FFFFFF"/>
        </w:rPr>
        <w:t>从决算编报</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构成看，纳入</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2023</w:t>
      </w:r>
      <w:r>
        <w:rPr>
          <w:rFonts w:hint="default" w:ascii="Times New Roman" w:hAnsi="Times New Roman" w:eastAsia="仿宋_GB2312" w:cs="Times New Roman"/>
          <w:i w:val="0"/>
          <w:iCs w:val="0"/>
          <w:caps w:val="0"/>
          <w:color w:val="auto"/>
          <w:spacing w:val="0"/>
          <w:sz w:val="32"/>
          <w:szCs w:val="32"/>
          <w:highlight w:val="none"/>
          <w:shd w:val="clear" w:fill="FFFFFF"/>
        </w:rPr>
        <w:t>年度</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本部门</w:t>
      </w:r>
      <w:r>
        <w:rPr>
          <w:rFonts w:hint="default" w:ascii="Times New Roman" w:hAnsi="Times New Roman" w:eastAsia="仿宋_GB2312" w:cs="Times New Roman"/>
          <w:i w:val="0"/>
          <w:iCs w:val="0"/>
          <w:caps w:val="0"/>
          <w:color w:val="auto"/>
          <w:spacing w:val="0"/>
          <w:sz w:val="32"/>
          <w:szCs w:val="32"/>
          <w:highlight w:val="none"/>
          <w:shd w:val="clear" w:fill="FFFFFF"/>
        </w:rPr>
        <w:t>决算汇编范围的独立核算</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（以下简称“</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”）共</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1</w:t>
      </w:r>
      <w:r>
        <w:rPr>
          <w:rFonts w:hint="default" w:ascii="Times New Roman" w:hAnsi="Times New Roman" w:eastAsia="仿宋_GB2312" w:cs="Times New Roman"/>
          <w:i w:val="0"/>
          <w:iCs w:val="0"/>
          <w:caps w:val="0"/>
          <w:color w:val="auto"/>
          <w:spacing w:val="0"/>
          <w:sz w:val="32"/>
          <w:szCs w:val="32"/>
          <w:highlight w:val="none"/>
          <w:shd w:val="clear" w:fill="FFFFFF"/>
        </w:rPr>
        <w:t>个，具体情况如下：</w:t>
      </w:r>
    </w:p>
    <w:tbl>
      <w:tblPr>
        <w:tblStyle w:val="12"/>
        <w:tblpPr w:leftFromText="180" w:rightFromText="180" w:vertAnchor="text" w:horzAnchor="page" w:tblpXSpec="center" w:tblpY="10"/>
        <w:tblOverlap w:val="never"/>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5"/>
        <w:gridCol w:w="3485"/>
        <w:gridCol w:w="2445"/>
        <w:gridCol w:w="2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11" w:hRule="atLeast"/>
          <w:jc w:val="center"/>
        </w:trPr>
        <w:tc>
          <w:tcPr>
            <w:tcW w:w="98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序号</w:t>
            </w:r>
          </w:p>
        </w:tc>
        <w:tc>
          <w:tcPr>
            <w:tcW w:w="348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单位名称</w:t>
            </w:r>
          </w:p>
        </w:tc>
        <w:tc>
          <w:tcPr>
            <w:tcW w:w="244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单位基本性质</w:t>
            </w:r>
          </w:p>
        </w:tc>
        <w:tc>
          <w:tcPr>
            <w:tcW w:w="266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经费形式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96" w:hRule="atLeast"/>
          <w:jc w:val="center"/>
        </w:trPr>
        <w:tc>
          <w:tcPr>
            <w:tcW w:w="985" w:type="dxa"/>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1</w:t>
            </w:r>
          </w:p>
        </w:tc>
        <w:tc>
          <w:tcPr>
            <w:tcW w:w="3485" w:type="dxa"/>
          </w:tcPr>
          <w:p>
            <w:pPr>
              <w:spacing w:line="560" w:lineRule="exact"/>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中国共产党廊坊市纪律检 查委员会（本级）</w:t>
            </w:r>
          </w:p>
        </w:tc>
        <w:tc>
          <w:tcPr>
            <w:tcW w:w="2445" w:type="dxa"/>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行政单位</w:t>
            </w:r>
          </w:p>
        </w:tc>
        <w:tc>
          <w:tcPr>
            <w:tcW w:w="2665" w:type="dxa"/>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财政拨款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jc w:val="center"/>
        </w:trPr>
        <w:tc>
          <w:tcPr>
            <w:tcW w:w="9580" w:type="dxa"/>
            <w:gridSpan w:val="4"/>
            <w:tcBorders>
              <w:top w:val="single" w:color="auto" w:sz="4" w:space="0"/>
              <w:left w:val="nil"/>
              <w:bottom w:val="nil"/>
              <w:right w:val="nil"/>
            </w:tcBorders>
          </w:tcPr>
          <w:p>
            <w:pPr>
              <w:spacing w:line="560" w:lineRule="exact"/>
              <w:jc w:val="left"/>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注：1、单位基本性质分为行政单位、参公事业单位、财政补助事业单位、经费自理事业单位四类。</w:t>
            </w:r>
          </w:p>
          <w:p>
            <w:pPr>
              <w:spacing w:line="560" w:lineRule="exact"/>
              <w:ind w:firstLine="560" w:firstLineChars="200"/>
              <w:jc w:val="left"/>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2、经费形式分为财政拨款、财政性资金基本保证、财政性资金定额或定项补助、财政性资金零补助四类。</w:t>
            </w:r>
          </w:p>
        </w:tc>
      </w:tr>
    </w:tbl>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rPr>
          <w:rFonts w:hint="default" w:ascii="Times New Roman" w:hAnsi="Times New Roman" w:eastAsia="黑体" w:cs="Times New Roman"/>
          <w:sz w:val="32"/>
          <w:szCs w:val="32"/>
          <w:highlight w:val="yellow"/>
        </w:rPr>
      </w:pPr>
      <w:r>
        <w:rPr>
          <w:rFonts w:hint="default" w:ascii="Times New Roman" w:hAnsi="Times New Roman" w:eastAsia="黑体" w:cs="Times New Roman"/>
          <w:sz w:val="32"/>
          <w:szCs w:val="32"/>
          <w:highlight w:val="yellow"/>
        </w:rPr>
        <w:br w:type="page"/>
      </w: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kern w:val="0"/>
          <w:sz w:val="18"/>
          <w:szCs w:val="18"/>
          <w:highlight w:val="none"/>
          <w:shd w:val="clear" w:fill="FFFFFF"/>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kern w:val="0"/>
          <w:sz w:val="18"/>
          <w:szCs w:val="18"/>
          <w:highlight w:val="none"/>
          <w:shd w:val="clear" w:fill="FFFFFF"/>
          <w:lang w:val="en-US" w:eastAsia="zh-CN" w:bidi="ar"/>
        </w:rPr>
        <w:t> </w:t>
      </w: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outlineLvl w:val="0"/>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第二部分</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lang w:val="en-US" w:eastAsia="zh-CN"/>
        </w:rPr>
        <w:t>2023</w:t>
      </w:r>
      <w:r>
        <w:rPr>
          <w:rFonts w:hint="default" w:ascii="Times New Roman" w:hAnsi="Times New Roman" w:eastAsia="黑体" w:cs="Times New Roman"/>
          <w:i w:val="0"/>
          <w:iCs w:val="0"/>
          <w:caps w:val="0"/>
          <w:color w:val="000000"/>
          <w:spacing w:val="0"/>
          <w:sz w:val="72"/>
          <w:szCs w:val="72"/>
          <w:highlight w:val="none"/>
          <w:shd w:val="clear" w:fill="FFFFFF"/>
        </w:rPr>
        <w:t>年</w:t>
      </w:r>
      <w:r>
        <w:rPr>
          <w:rFonts w:hint="default" w:ascii="Times New Roman" w:hAnsi="Times New Roman" w:eastAsia="黑体" w:cs="Times New Roman"/>
          <w:i w:val="0"/>
          <w:iCs w:val="0"/>
          <w:caps w:val="0"/>
          <w:color w:val="000000"/>
          <w:spacing w:val="0"/>
          <w:sz w:val="72"/>
          <w:szCs w:val="72"/>
          <w:highlight w:val="none"/>
          <w:shd w:val="clear" w:fill="FFFFFF"/>
          <w:lang w:val="en-US" w:eastAsia="zh-CN"/>
        </w:rPr>
        <w:t>度</w:t>
      </w:r>
      <w:r>
        <w:rPr>
          <w:rFonts w:hint="default" w:ascii="Times New Roman" w:hAnsi="Times New Roman" w:eastAsia="黑体" w:cs="Times New Roman"/>
          <w:i w:val="0"/>
          <w:iCs w:val="0"/>
          <w:caps w:val="0"/>
          <w:color w:val="000000"/>
          <w:spacing w:val="0"/>
          <w:sz w:val="72"/>
          <w:szCs w:val="72"/>
          <w:highlight w:val="none"/>
          <w:shd w:val="clear" w:fill="FFFFFF"/>
        </w:rPr>
        <w:t>部门决算报表</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仿宋_GB2312" w:cs="Times New Roman"/>
          <w:i w:val="0"/>
          <w:iCs w:val="0"/>
          <w:caps w:val="0"/>
          <w:color w:val="FF0000"/>
          <w:spacing w:val="0"/>
          <w:sz w:val="33"/>
          <w:szCs w:val="33"/>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仿宋_GB2312" w:cs="Times New Roman"/>
          <w:i w:val="0"/>
          <w:iCs w:val="0"/>
          <w:caps w:val="0"/>
          <w:color w:val="FF0000"/>
          <w:spacing w:val="0"/>
          <w:sz w:val="33"/>
          <w:szCs w:val="33"/>
          <w:highlight w:val="none"/>
          <w:shd w:val="clear" w:fill="FFFFFF"/>
        </w:rPr>
        <w:sectPr>
          <w:headerReference r:id="rId8" w:type="default"/>
          <w:pgSz w:w="11906" w:h="16838"/>
          <w:pgMar w:top="1984" w:right="1587" w:bottom="1701" w:left="1587" w:header="851" w:footer="992" w:gutter="0"/>
          <w:pgBorders>
            <w:top w:val="none" w:sz="0" w:space="0"/>
            <w:left w:val="none" w:sz="0" w:space="0"/>
            <w:bottom w:val="none" w:sz="0" w:space="0"/>
            <w:right w:val="none" w:sz="0" w:space="0"/>
          </w:pgBorders>
          <w:cols w:space="720" w:num="1"/>
          <w:docGrid w:type="lines" w:linePitch="312" w:charSpace="0"/>
        </w:sectPr>
      </w:pPr>
    </w:p>
    <w:tbl>
      <w:tblPr>
        <w:tblStyle w:val="12"/>
        <w:tblW w:w="7250" w:type="pct"/>
        <w:tblInd w:w="-181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346"/>
        <w:gridCol w:w="624"/>
        <w:gridCol w:w="611"/>
        <w:gridCol w:w="1317"/>
        <w:gridCol w:w="1628"/>
        <w:gridCol w:w="1547"/>
        <w:gridCol w:w="624"/>
        <w:gridCol w:w="1928"/>
        <w:gridCol w:w="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61" w:hRule="atLeast"/>
        </w:trPr>
        <w:tc>
          <w:tcPr>
            <w:tcW w:w="4985" w:type="pct"/>
            <w:gridSpan w:val="8"/>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收入支出决算总表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57" w:hRule="atLeast"/>
        </w:trPr>
        <w:tc>
          <w:tcPr>
            <w:tcW w:w="4985" w:type="pct"/>
            <w:gridSpan w:val="8"/>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公开</w:t>
            </w:r>
            <w:r>
              <w:rPr>
                <w:rFonts w:hint="default" w:ascii="Times New Roman" w:hAnsi="Times New Roman" w:eastAsia="宋体" w:cs="Times New Roman"/>
                <w:i w:val="0"/>
                <w:iCs w:val="0"/>
                <w:color w:val="000000"/>
                <w:sz w:val="20"/>
                <w:szCs w:val="20"/>
                <w:highlight w:val="none"/>
                <w:u w:val="none"/>
                <w:lang w:val="en-US" w:eastAsia="zh-CN"/>
              </w:rPr>
              <w:t>01</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51" w:hRule="atLeast"/>
        </w:trPr>
        <w:tc>
          <w:tcPr>
            <w:tcW w:w="1964" w:type="pct"/>
            <w:gridSpan w:val="3"/>
            <w:tcBorders>
              <w:top w:val="nil"/>
              <w:left w:val="nil"/>
              <w:bottom w:val="single" w:color="auto" w:sz="4" w:space="0"/>
              <w:right w:val="nil"/>
            </w:tcBorders>
            <w:noWrap/>
            <w:vAlign w:val="bottom"/>
          </w:tcPr>
          <w:p>
            <w:pPr>
              <w:jc w:val="both"/>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编制部门（单位）：中国共产党廊坊市纪律检查委员会（本级）</w:t>
            </w:r>
          </w:p>
        </w:tc>
        <w:tc>
          <w:tcPr>
            <w:tcW w:w="1262" w:type="pct"/>
            <w:gridSpan w:val="2"/>
            <w:tcBorders>
              <w:top w:val="nil"/>
              <w:left w:val="nil"/>
              <w:bottom w:val="single" w:color="auto" w:sz="4" w:space="0"/>
              <w:right w:val="nil"/>
            </w:tcBorders>
            <w:noWrap/>
            <w:vAlign w:val="bottom"/>
          </w:tcPr>
          <w:p>
            <w:pPr>
              <w:jc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sz w:val="20"/>
                <w:szCs w:val="20"/>
                <w:highlight w:val="none"/>
                <w:u w:val="none"/>
                <w:lang w:val="en-US" w:eastAsia="zh-CN"/>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757" w:type="pct"/>
            <w:gridSpan w:val="3"/>
            <w:tcBorders>
              <w:top w:val="nil"/>
              <w:left w:val="nil"/>
              <w:bottom w:val="single" w:color="auto" w:sz="4" w:space="0"/>
              <w:right w:val="nil"/>
            </w:tcBorders>
            <w:noWrap/>
            <w:vAlign w:val="bottom"/>
          </w:tcPr>
          <w:p>
            <w:pPr>
              <w:jc w:val="right"/>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544" w:hRule="atLeast"/>
        </w:trPr>
        <w:tc>
          <w:tcPr>
            <w:tcW w:w="2529" w:type="pct"/>
            <w:gridSpan w:val="4"/>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收入</w:t>
            </w:r>
          </w:p>
        </w:tc>
        <w:tc>
          <w:tcPr>
            <w:tcW w:w="2456" w:type="pct"/>
            <w:gridSpan w:val="4"/>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08"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82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决算数</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82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决算数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267"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82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267"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82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8,401.64</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一、一般公共服务支出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7,026.64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二、外交支出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三、国防支出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四、上级补助收入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四、公共安全支出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35</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五、事业收入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五、教育支出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36</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六、经营收入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六、科学技术支出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37</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七、附属单位上缴收入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七、文化旅游体育与传媒支出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38</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八、其他收入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8</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八、社会保障和就业支出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39</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9</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九、卫生健康支出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40</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10</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十、节能环保支出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41</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十一、城乡社区支出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十二、农林水支出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十三、交通运输支出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auto"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14</w:t>
            </w:r>
          </w:p>
        </w:tc>
        <w:tc>
          <w:tcPr>
            <w:tcW w:w="826" w:type="pct"/>
            <w:gridSpan w:val="2"/>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auto"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十四、资源勘探工业信息等支出</w:t>
            </w:r>
          </w:p>
        </w:tc>
        <w:tc>
          <w:tcPr>
            <w:tcW w:w="267"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45</w:t>
            </w:r>
          </w:p>
        </w:tc>
        <w:tc>
          <w:tcPr>
            <w:tcW w:w="826"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15</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十五、商业服务业等支出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46</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16</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十六、金融支出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47</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17</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十七、援助其他地区支出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48</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18</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十八、自然资源海洋气象等支出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49</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19</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十九、住房保障支出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50</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20</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二十、粮油物资储备支出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51</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21</w:t>
            </w:r>
          </w:p>
        </w:tc>
        <w:tc>
          <w:tcPr>
            <w:tcW w:w="826" w:type="pct"/>
            <w:gridSpan w:val="2"/>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二十一、国有资本经营预算支出</w:t>
            </w:r>
          </w:p>
        </w:tc>
        <w:tc>
          <w:tcPr>
            <w:tcW w:w="267"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52</w:t>
            </w:r>
          </w:p>
        </w:tc>
        <w:tc>
          <w:tcPr>
            <w:tcW w:w="826"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二十二、灾害防治及应急管理支出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二十三、其他支出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24</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二十四、债务还本支出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55</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25</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二十五、债务付息支出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56</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26</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二十六、抗疫特别国债安排的支出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57</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本年收入合计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27</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8,401.64</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本年支出合计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58</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8,318.55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使用非财政拨款结余（含专用结余）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28</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结余分配</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59</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年初结转和结余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29</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30.05</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年末结转和结余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60</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kern w:val="0"/>
                <w:sz w:val="20"/>
                <w:szCs w:val="20"/>
                <w:highlight w:val="none"/>
                <w:u w:val="none"/>
                <w:lang w:val="en-US" w:eastAsia="zh-CN" w:bidi="ar"/>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30</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kern w:val="0"/>
                <w:sz w:val="20"/>
                <w:szCs w:val="20"/>
                <w:highlight w:val="none"/>
                <w:u w:val="none"/>
                <w:lang w:val="en-US" w:eastAsia="zh-CN" w:bidi="ar"/>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61</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08"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8,431.69</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62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8,431.69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注：1.本表反映部门本年度的总收支和年末结转结余情况。2.本套报表金额转换时可能存在尾数误差。</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黑体" w:cs="Times New Roman"/>
          <w:bCs/>
          <w:kern w:val="0"/>
          <w:sz w:val="32"/>
          <w:szCs w:val="32"/>
          <w:highlight w:val="none"/>
        </w:rPr>
      </w:pPr>
    </w:p>
    <w:tbl>
      <w:tblPr>
        <w:tblStyle w:val="12"/>
        <w:tblW w:w="92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40"/>
        <w:gridCol w:w="1160"/>
        <w:gridCol w:w="1037"/>
        <w:gridCol w:w="1037"/>
        <w:gridCol w:w="1037"/>
        <w:gridCol w:w="964"/>
        <w:gridCol w:w="367"/>
        <w:gridCol w:w="597"/>
        <w:gridCol w:w="1027"/>
        <w:gridCol w:w="96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jc w:val="center"/>
        </w:trPr>
        <w:tc>
          <w:tcPr>
            <w:tcW w:w="9230" w:type="dxa"/>
            <w:gridSpan w:val="10"/>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收入决算表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9230" w:type="dxa"/>
            <w:gridSpan w:val="10"/>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sz w:val="20"/>
                <w:szCs w:val="20"/>
                <w:highlight w:val="none"/>
                <w:u w:val="none"/>
                <w:lang w:val="en-US" w:eastAsia="zh-CN"/>
              </w:rPr>
              <w:t>02</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3237" w:type="dxa"/>
            <w:gridSpan w:val="3"/>
            <w:tcBorders>
              <w:top w:val="nil"/>
              <w:left w:val="nil"/>
              <w:bottom w:val="single" w:color="auto" w:sz="4" w:space="0"/>
              <w:right w:val="nil"/>
            </w:tcBorders>
            <w:noWrap/>
            <w:vAlign w:val="bottom"/>
          </w:tcPr>
          <w:p>
            <w:pP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编制部门（单位）：中国共产党廊坊市纪律检查委员会（本级）                                                                                                         </w:t>
            </w:r>
          </w:p>
        </w:tc>
        <w:tc>
          <w:tcPr>
            <w:tcW w:w="3405" w:type="dxa"/>
            <w:gridSpan w:val="4"/>
            <w:tcBorders>
              <w:top w:val="nil"/>
              <w:left w:val="nil"/>
              <w:bottom w:val="single" w:color="auto" w:sz="4" w:space="0"/>
              <w:right w:val="nil"/>
            </w:tcBorders>
            <w:noWrap/>
            <w:vAlign w:val="bottom"/>
          </w:tcPr>
          <w:p>
            <w:pPr>
              <w:jc w:val="center"/>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sz w:val="20"/>
                <w:szCs w:val="20"/>
                <w:highlight w:val="none"/>
                <w:u w:val="none"/>
                <w:lang w:val="en-US" w:eastAsia="zh-CN"/>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2588" w:type="dxa"/>
            <w:gridSpan w:val="3"/>
            <w:tcBorders>
              <w:top w:val="nil"/>
              <w:left w:val="nil"/>
              <w:bottom w:val="single" w:color="auto" w:sz="4" w:space="0"/>
              <w:right w:val="nil"/>
            </w:tcBorders>
            <w:noWrap/>
            <w:vAlign w:val="bottom"/>
          </w:tcPr>
          <w:p>
            <w:pPr>
              <w:jc w:val="right"/>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jc w:val="center"/>
        </w:trPr>
        <w:tc>
          <w:tcPr>
            <w:tcW w:w="2200" w:type="dxa"/>
            <w:gridSpan w:val="2"/>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本年收入合计</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财政拨款收入</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上级补助收入</w:t>
            </w:r>
          </w:p>
        </w:tc>
        <w:tc>
          <w:tcPr>
            <w:tcW w:w="964" w:type="dxa"/>
            <w:vMerge w:val="restart"/>
            <w:tcBorders>
              <w:top w:val="single" w:color="auto" w:sz="4" w:space="0"/>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事业收入</w:t>
            </w:r>
          </w:p>
        </w:tc>
        <w:tc>
          <w:tcPr>
            <w:tcW w:w="964" w:type="dxa"/>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经营收入</w:t>
            </w:r>
          </w:p>
        </w:tc>
        <w:tc>
          <w:tcPr>
            <w:tcW w:w="102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附属单位上缴收入</w:t>
            </w:r>
          </w:p>
        </w:tc>
        <w:tc>
          <w:tcPr>
            <w:tcW w:w="964"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其他收入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1160" w:type="dxa"/>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160" w:type="dxa"/>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160" w:type="dxa"/>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jc w:val="center"/>
        </w:trPr>
        <w:tc>
          <w:tcPr>
            <w:tcW w:w="2200" w:type="dxa"/>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964"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4</w:t>
            </w:r>
          </w:p>
        </w:tc>
        <w:tc>
          <w:tcPr>
            <w:tcW w:w="964" w:type="dxa"/>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102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964"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2200" w:type="dxa"/>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rPr>
              <w:t>8,401.64</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rPr>
              <w:t>8,401.64</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一般公共服务支出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7,109.73</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7,109.73</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纪检监察事务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7,109.73</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7,109.73</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行政运行</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5,183.26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5,183.26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2011102</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一般行政管理事务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1,926.47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1,926.47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社会保障和就业支出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行政事业单位养老支出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行政单位离退休</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220.52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220.52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2080505</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机关事业单位基本养老保险缴费支出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506.16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506.16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卫生健康支出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21011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行政事业单位医疗</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2101101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行政单位医疗</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住房保障支出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22102</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住房改革支出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2210201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住房公积金</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9230" w:type="dxa"/>
            <w:gridSpan w:val="10"/>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注：本表反映部门本年度取得的各项收入情况。</w:t>
            </w:r>
          </w:p>
        </w:tc>
      </w:tr>
    </w:tbl>
    <w:p>
      <w:pPr>
        <w:rPr>
          <w:rFonts w:hint="default" w:ascii="Times New Roman" w:hAnsi="Times New Roman" w:eastAsia="黑体" w:cs="Times New Roman"/>
          <w:bCs/>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宋体" w:cs="Times New Roman"/>
          <w:spacing w:val="-2"/>
          <w:sz w:val="20"/>
          <w:highlight w:val="none"/>
          <w:lang w:val="en-US" w:eastAsia="zh-CN"/>
        </w:rPr>
      </w:pPr>
    </w:p>
    <w:tbl>
      <w:tblPr>
        <w:tblStyle w:val="12"/>
        <w:tblW w:w="5812"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40"/>
        <w:gridCol w:w="1187"/>
        <w:gridCol w:w="1128"/>
        <w:gridCol w:w="126"/>
        <w:gridCol w:w="1000"/>
        <w:gridCol w:w="1126"/>
        <w:gridCol w:w="497"/>
        <w:gridCol w:w="629"/>
        <w:gridCol w:w="1126"/>
        <w:gridCol w:w="14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jc w:val="center"/>
        </w:trPr>
        <w:tc>
          <w:tcPr>
            <w:tcW w:w="5000" w:type="pct"/>
            <w:gridSpan w:val="10"/>
            <w:tcBorders>
              <w:top w:val="nil"/>
              <w:left w:val="nil"/>
              <w:bottom w:val="nil"/>
              <w:right w:val="nil"/>
            </w:tcBorders>
            <w:noWrap/>
            <w:vAlign w:val="bottom"/>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1"/>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br w:type="page"/>
            </w:r>
            <w:r>
              <w:rPr>
                <w:rFonts w:hint="default" w:ascii="Times New Roman" w:hAnsi="Times New Roman" w:eastAsia="方正仿宋_GB2312" w:cs="Times New Roman"/>
                <w:b w:val="0"/>
                <w:bCs/>
                <w:color w:val="auto"/>
                <w:kern w:val="0"/>
                <w:sz w:val="32"/>
                <w:szCs w:val="32"/>
                <w:highlight w:val="none"/>
                <w:lang w:val="en-US" w:eastAsia="zh-CN"/>
              </w:rPr>
              <w:t>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5000" w:type="pct"/>
            <w:gridSpan w:val="10"/>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kern w:val="0"/>
                <w:sz w:val="20"/>
                <w:szCs w:val="20"/>
                <w:highlight w:val="none"/>
                <w:u w:val="none"/>
                <w:lang w:val="en-US" w:eastAsia="zh-CN" w:bidi="ar"/>
              </w:rPr>
              <w:t>03</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62" w:type="pct"/>
            <w:gridSpan w:val="4"/>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编制部门（单位）：中国共产党廊坊市纪律检查委员会（本级） </w:t>
            </w:r>
            <w:r>
              <w:rPr>
                <w:rFonts w:hint="default" w:ascii="Times New Roman" w:hAnsi="Times New Roman" w:cs="Times New Roman" w:eastAsiaTheme="minorEastAsia"/>
                <w:i w:val="0"/>
                <w:iCs w:val="0"/>
                <w:color w:val="000000"/>
                <w:kern w:val="0"/>
                <w:sz w:val="20"/>
                <w:szCs w:val="20"/>
                <w:highlight w:val="none"/>
                <w:u w:val="none"/>
                <w:lang w:val="en-US" w:eastAsia="zh-CN" w:bidi="ar"/>
              </w:rPr>
              <w:t xml:space="preserve">                                                                                                         </w:t>
            </w:r>
          </w:p>
        </w:tc>
        <w:tc>
          <w:tcPr>
            <w:tcW w:w="1403"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eastAsiaTheme="minorEastAsia"/>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73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jc w:val="center"/>
        </w:trPr>
        <w:tc>
          <w:tcPr>
            <w:tcW w:w="1191" w:type="pct"/>
            <w:gridSpan w:val="2"/>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603"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本年支出合计</w:t>
            </w:r>
          </w:p>
        </w:tc>
        <w:tc>
          <w:tcPr>
            <w:tcW w:w="602" w:type="pct"/>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602"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c>
          <w:tcPr>
            <w:tcW w:w="602" w:type="pct"/>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上缴上级支出</w:t>
            </w:r>
          </w:p>
        </w:tc>
        <w:tc>
          <w:tcPr>
            <w:tcW w:w="602"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经营支出</w:t>
            </w:r>
          </w:p>
        </w:tc>
        <w:tc>
          <w:tcPr>
            <w:tcW w:w="795"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对附属单位补助支出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635"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jc w:val="center"/>
        </w:trPr>
        <w:tc>
          <w:tcPr>
            <w:tcW w:w="1191" w:type="pct"/>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603"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602" w:type="pct"/>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602"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602" w:type="pct"/>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602"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795"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191" w:type="pct"/>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8,318.55</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6,392.08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1,926.47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一般公共服务支出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7,026.64</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纪检监察事务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7,026.64</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行政运行</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2011102</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一般行政管理事务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社会保障和就业支出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行政事业单位养老支出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行政单位离退休</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2080505</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机关事业单位基本养老保险缴费支出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卫生健康支出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行政事业单位医疗</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行政单位医疗</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住房保障支出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住房改革支出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住房公积金</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000" w:type="pct"/>
            <w:gridSpan w:val="10"/>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注：本表反映部门本年度各项支出情况。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W w:w="7281" w:type="pct"/>
        <w:tblInd w:w="-185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984"/>
        <w:gridCol w:w="624"/>
        <w:gridCol w:w="1427"/>
        <w:gridCol w:w="1659"/>
        <w:gridCol w:w="439"/>
        <w:gridCol w:w="624"/>
        <w:gridCol w:w="458"/>
        <w:gridCol w:w="837"/>
        <w:gridCol w:w="1219"/>
        <w:gridCol w:w="1219"/>
        <w:gridCol w:w="121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11"/>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财政拨款收入支出决算总表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11"/>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公开04表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2431" w:type="pct"/>
            <w:gridSpan w:val="4"/>
            <w:tcBorders>
              <w:top w:val="nil"/>
              <w:left w:val="nil"/>
              <w:bottom w:val="single" w:color="auto" w:sz="4" w:space="0"/>
              <w:right w:val="nil"/>
            </w:tcBorders>
            <w:noWrap/>
            <w:vAlign w:val="bottom"/>
          </w:tcPr>
          <w:p>
            <w:pPr>
              <w:rPr>
                <w:rFonts w:hint="default" w:ascii="Times New Roman" w:hAnsi="Times New Roman" w:eastAsia="仿宋"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编制部门（单位）：中国共产党廊坊市纪律检查委员会（本级） </w:t>
            </w:r>
            <w:r>
              <w:rPr>
                <w:rFonts w:hint="default" w:ascii="Times New Roman" w:hAnsi="Times New Roman" w:cs="Times New Roman" w:eastAsiaTheme="minorEastAsia"/>
                <w:i w:val="0"/>
                <w:iCs w:val="0"/>
                <w:color w:val="000000"/>
                <w:kern w:val="0"/>
                <w:sz w:val="20"/>
                <w:szCs w:val="20"/>
                <w:highlight w:val="none"/>
                <w:u w:val="none"/>
                <w:lang w:val="en-US" w:eastAsia="zh-CN" w:bidi="ar"/>
              </w:rPr>
              <w:t xml:space="preserve">                                                                                                   </w:t>
            </w:r>
          </w:p>
        </w:tc>
        <w:tc>
          <w:tcPr>
            <w:tcW w:w="649" w:type="pct"/>
            <w:gridSpan w:val="3"/>
            <w:tcBorders>
              <w:top w:val="nil"/>
              <w:left w:val="nil"/>
              <w:bottom w:val="single" w:color="auto" w:sz="4" w:space="0"/>
              <w:right w:val="nil"/>
            </w:tcBorders>
            <w:noWrap/>
            <w:vAlign w:val="bottom"/>
          </w:tcPr>
          <w:p>
            <w:pPr>
              <w:jc w:val="center"/>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919" w:type="pct"/>
            <w:gridSpan w:val="4"/>
            <w:tcBorders>
              <w:top w:val="nil"/>
              <w:left w:val="nil"/>
              <w:bottom w:val="single" w:color="auto" w:sz="4" w:space="0"/>
              <w:right w:val="nil"/>
            </w:tcBorders>
            <w:noWrap/>
            <w:vAlign w:val="bottom"/>
          </w:tcPr>
          <w:p>
            <w:pPr>
              <w:jc w:val="right"/>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723" w:type="pct"/>
            <w:gridSpan w:val="3"/>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收入</w:t>
            </w:r>
          </w:p>
        </w:tc>
        <w:tc>
          <w:tcPr>
            <w:tcW w:w="3276" w:type="pct"/>
            <w:gridSpan w:val="8"/>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847"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    目</w:t>
            </w:r>
          </w:p>
        </w:tc>
        <w:tc>
          <w:tcPr>
            <w:tcW w:w="26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609"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金额</w:t>
            </w:r>
          </w:p>
        </w:tc>
        <w:tc>
          <w:tcPr>
            <w:tcW w:w="895" w:type="pct"/>
            <w:gridSpan w:val="2"/>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552" w:type="pct"/>
            <w:gridSpan w:val="2"/>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合计</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一般公共预算财政拨款</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政府性基金预算财政拨款</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国有资本经营预算财政拨款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847"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26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09"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95"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26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52" w:type="pct"/>
            <w:gridSpan w:val="2"/>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    次</w:t>
            </w:r>
          </w:p>
        </w:tc>
        <w:tc>
          <w:tcPr>
            <w:tcW w:w="266"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9"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    次</w:t>
            </w:r>
          </w:p>
        </w:tc>
        <w:tc>
          <w:tcPr>
            <w:tcW w:w="266"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552"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52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52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520" w:type="pct"/>
            <w:tcBorders>
              <w:top w:val="nil"/>
              <w:left w:val="nil"/>
              <w:bottom w:val="single" w:color="000000" w:sz="4" w:space="0"/>
              <w:right w:val="single" w:color="000000" w:sz="8"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8,401.64</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一、一般公共服务支出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7,026.64</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7,026.64</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二、外交支出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34</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三、国防支出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35</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四、公共安全支出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36</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五、教育支出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37</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六、科学技术支出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38</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七、文化旅游体育与传媒支出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39</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8</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八、社会保障和就业支出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40</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9</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九、卫生健康支出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41</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10</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十、节能环保支出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42</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十一、城乡社区支出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auto"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12</w:t>
            </w:r>
          </w:p>
        </w:tc>
        <w:tc>
          <w:tcPr>
            <w:tcW w:w="609"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auto"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十二、农林水支出</w:t>
            </w:r>
          </w:p>
        </w:tc>
        <w:tc>
          <w:tcPr>
            <w:tcW w:w="266"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44</w:t>
            </w:r>
          </w:p>
        </w:tc>
        <w:tc>
          <w:tcPr>
            <w:tcW w:w="552" w:type="pct"/>
            <w:gridSpan w:val="2"/>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13</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十三、交通运输支出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45</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14</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十四、资源勘探工业信息等支出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46</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15</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十五、商业服务业等支出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47</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16</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十六、金融支出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48</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17</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十七、援助其他地区支出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49</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18</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十八、自然资源海洋气象等支出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50</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19</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十九、住房保障支出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51</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20</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二十、粮油物资储备支出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52</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21</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二十一、国有资本经营预算支出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53</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22</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二十二、灾害防治及应急管理支出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54</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23</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二十三、其他支出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55</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24</w:t>
            </w:r>
          </w:p>
        </w:tc>
        <w:tc>
          <w:tcPr>
            <w:tcW w:w="609"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二十四、债务还本支出</w:t>
            </w:r>
          </w:p>
        </w:tc>
        <w:tc>
          <w:tcPr>
            <w:tcW w:w="266"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56</w:t>
            </w:r>
          </w:p>
        </w:tc>
        <w:tc>
          <w:tcPr>
            <w:tcW w:w="552" w:type="pct"/>
            <w:gridSpan w:val="2"/>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b/>
                <w:bCs/>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25</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二十五、债务付息支出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57</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26</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二十六、抗疫特别国债安排的支出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58</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本年收入合计</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27</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8,401.64</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本年支出合计</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59</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8,318.55</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8,318.55</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年初财政拨款结转和结余</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28</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30.05</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年末财政拨款结转和结余</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60</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c>
          <w:tcPr>
            <w:tcW w:w="520" w:type="pct"/>
            <w:tcBorders>
              <w:top w:val="nil"/>
              <w:left w:val="nil"/>
              <w:bottom w:val="single" w:color="000000" w:sz="4" w:space="0"/>
              <w:right w:val="single" w:color="000000" w:sz="4" w:space="0"/>
            </w:tcBorders>
            <w:noWrap/>
            <w:vAlign w:val="center"/>
          </w:tcPr>
          <w:p>
            <w:pPr>
              <w:jc w:val="both"/>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both"/>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29</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30.05</w:t>
            </w: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61</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30</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62</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6" w:type="pct"/>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32</w:t>
            </w:r>
          </w:p>
        </w:tc>
        <w:tc>
          <w:tcPr>
            <w:tcW w:w="609" w:type="pct"/>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8,431.69</w:t>
            </w:r>
          </w:p>
        </w:tc>
        <w:tc>
          <w:tcPr>
            <w:tcW w:w="895" w:type="pct"/>
            <w:gridSpan w:val="2"/>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6" w:type="pct"/>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64</w:t>
            </w:r>
          </w:p>
        </w:tc>
        <w:tc>
          <w:tcPr>
            <w:tcW w:w="552" w:type="pct"/>
            <w:gridSpan w:val="2"/>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8,431.69</w:t>
            </w:r>
          </w:p>
        </w:tc>
        <w:tc>
          <w:tcPr>
            <w:tcW w:w="520" w:type="pct"/>
            <w:tcBorders>
              <w:top w:val="nil"/>
              <w:left w:val="nil"/>
              <w:bottom w:val="single" w:color="000000" w:sz="8" w:space="0"/>
              <w:right w:val="single" w:color="000000" w:sz="4" w:space="0"/>
            </w:tcBorders>
            <w:noWrap/>
            <w:vAlign w:val="center"/>
          </w:tcPr>
          <w:p>
            <w:pPr>
              <w:jc w:val="right"/>
              <w:rPr>
                <w:rFonts w:hint="default" w:ascii="Times New Roman" w:hAnsi="Times New Roman" w:cs="Times New Roman"/>
                <w:sz w:val="20"/>
                <w:szCs w:val="20"/>
                <w:highlight w:val="none"/>
              </w:rPr>
            </w:pPr>
          </w:p>
          <w:p>
            <w:pPr>
              <w:jc w:val="right"/>
              <w:rPr>
                <w:rFonts w:hint="default" w:ascii="Times New Roman" w:hAnsi="Times New Roman" w:cs="Times New Roman"/>
                <w:sz w:val="20"/>
                <w:szCs w:val="20"/>
                <w:highlight w:val="none"/>
              </w:rPr>
            </w:pPr>
            <w:r>
              <w:rPr>
                <w:rFonts w:hint="default" w:ascii="Times New Roman" w:hAnsi="Times New Roman" w:cs="Times New Roman"/>
                <w:sz w:val="20"/>
                <w:szCs w:val="20"/>
                <w:highlight w:val="none"/>
              </w:rPr>
              <w:t>8,431.69</w:t>
            </w:r>
          </w:p>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8"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11"/>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注：本表反映部门本年度一般公共预算财政拨款、政府性基金预算财政拨款和国有资本经营预算财政拨款的总收支和年末结转结余情况。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spacing w:val="-2"/>
          <w:sz w:val="20"/>
          <w:highlight w:val="none"/>
          <w:lang w:val="en-US" w:eastAsia="zh-CN"/>
        </w:rPr>
      </w:pPr>
    </w:p>
    <w:tbl>
      <w:tblPr>
        <w:tblStyle w:val="12"/>
        <w:tblW w:w="5455" w:type="pct"/>
        <w:tblInd w:w="-65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87"/>
        <w:gridCol w:w="3416"/>
        <w:gridCol w:w="1282"/>
        <w:gridCol w:w="522"/>
        <w:gridCol w:w="544"/>
        <w:gridCol w:w="383"/>
        <w:gridCol w:w="12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7"/>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一般公共预算财政拨款支出决算表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7"/>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公开05表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856" w:type="pct"/>
            <w:gridSpan w:val="3"/>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编制部门（单位）：中国共产党廊坊市纪律检查委员会（本级）</w:t>
            </w:r>
          </w:p>
        </w:tc>
        <w:tc>
          <w:tcPr>
            <w:tcW w:w="1551" w:type="pct"/>
            <w:gridSpan w:val="2"/>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591" w:type="pct"/>
            <w:gridSpan w:val="2"/>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5"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3552" w:type="pct"/>
            <w:gridSpan w:val="5"/>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98"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科目代码</w:t>
            </w:r>
          </w:p>
        </w:tc>
        <w:tc>
          <w:tcPr>
            <w:tcW w:w="748"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1169"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小计</w:t>
            </w:r>
          </w:p>
        </w:tc>
        <w:tc>
          <w:tcPr>
            <w:tcW w:w="1169"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1213"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7" w:hRule="atLeast"/>
        </w:trPr>
        <w:tc>
          <w:tcPr>
            <w:tcW w:w="69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4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213"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9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4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213"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2</w:t>
            </w:r>
          </w:p>
        </w:tc>
        <w:tc>
          <w:tcPr>
            <w:tcW w:w="1213"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8,318.55</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6,392.08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1,926.47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一般公共服务支出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7,026.64</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纪检监察事务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7,026.64</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行政运行</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2011102</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一般行政管理事务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1,926.47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社会保障和就业支出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行政事业单位养老支出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行政单位离退休</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2080505</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机关事业单位基本养老保险缴费支出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卫生健康支出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行政事业单位医疗</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行政单位医疗</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住房保障支出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住房改革支出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住房公积金</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7"/>
            <w:tcBorders>
              <w:top w:val="single" w:color="auto" w:sz="4" w:space="0"/>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注：本表反映部门本年度一般公共预算财政拨款支出情况。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W w:w="7050" w:type="pct"/>
        <w:tblInd w:w="-161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4"/>
        <w:gridCol w:w="1814"/>
        <w:gridCol w:w="1020"/>
        <w:gridCol w:w="964"/>
        <w:gridCol w:w="438"/>
        <w:gridCol w:w="1376"/>
        <w:gridCol w:w="587"/>
        <w:gridCol w:w="377"/>
        <w:gridCol w:w="964"/>
        <w:gridCol w:w="1814"/>
        <w:gridCol w:w="10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5000" w:type="pct"/>
            <w:gridSpan w:val="11"/>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一般公共预算财政拨款基本支出决算表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11"/>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公开06表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293" w:type="pct"/>
            <w:gridSpan w:val="5"/>
            <w:tcBorders>
              <w:top w:val="nil"/>
              <w:left w:val="nil"/>
              <w:bottom w:val="single" w:color="auto" w:sz="4" w:space="0"/>
              <w:right w:val="nil"/>
            </w:tcBorders>
            <w:noWrap/>
            <w:vAlign w:val="bottom"/>
          </w:tcPr>
          <w:p>
            <w:pP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编制部门（单位）：中国共产党廊坊市纪律检查委员会（本级） </w:t>
            </w:r>
            <w:r>
              <w:rPr>
                <w:rFonts w:hint="default" w:ascii="Times New Roman" w:hAnsi="Times New Roman" w:cs="Times New Roman"/>
                <w:i w:val="0"/>
                <w:iCs w:val="0"/>
                <w:color w:val="000000"/>
                <w:kern w:val="0"/>
                <w:sz w:val="18"/>
                <w:szCs w:val="18"/>
                <w:highlight w:val="none"/>
                <w:u w:val="none"/>
                <w:lang w:val="en-US" w:eastAsia="zh-CN" w:bidi="ar"/>
              </w:rPr>
              <w:t xml:space="preserve">                                                                   </w:t>
            </w:r>
          </w:p>
        </w:tc>
        <w:tc>
          <w:tcPr>
            <w:tcW w:w="865" w:type="pct"/>
            <w:gridSpan w:val="2"/>
            <w:tcBorders>
              <w:top w:val="nil"/>
              <w:left w:val="nil"/>
              <w:bottom w:val="single" w:color="auto" w:sz="4" w:space="0"/>
              <w:right w:val="nil"/>
            </w:tcBorders>
            <w:noWrap/>
            <w:vAlign w:val="bottom"/>
          </w:tcPr>
          <w:p>
            <w:pPr>
              <w:jc w:val="center"/>
              <w:rPr>
                <w:rFonts w:hint="default" w:ascii="Times New Roman" w:hAnsi="Times New Roman" w:cs="Times New Roman" w:eastAsiaTheme="minorEastAsia"/>
                <w:i w:val="0"/>
                <w:iCs w:val="0"/>
                <w:color w:val="000000"/>
                <w:kern w:val="0"/>
                <w:sz w:val="18"/>
                <w:szCs w:val="18"/>
                <w:highlight w:val="none"/>
                <w:u w:val="none"/>
                <w:lang w:val="en-US" w:eastAsia="zh-CN" w:bidi="ar"/>
              </w:rPr>
            </w:pPr>
            <w:r>
              <w:rPr>
                <w:rFonts w:hint="default" w:ascii="Times New Roman" w:hAnsi="Times New Roman" w:cs="Times New Roman"/>
                <w:i w:val="0"/>
                <w:iCs w:val="0"/>
                <w:color w:val="000000"/>
                <w:kern w:val="0"/>
                <w:sz w:val="18"/>
                <w:szCs w:val="18"/>
                <w:highlight w:val="none"/>
                <w:u w:val="none"/>
                <w:lang w:val="en-US" w:eastAsia="zh-CN" w:bidi="ar"/>
              </w:rPr>
              <w:t>2023</w:t>
            </w:r>
            <w:r>
              <w:rPr>
                <w:rFonts w:hint="default" w:ascii="Times New Roman" w:hAnsi="Times New Roman" w:eastAsia="方正仿宋_GB2312" w:cs="Times New Roman"/>
                <w:i w:val="0"/>
                <w:iCs w:val="0"/>
                <w:color w:val="000000"/>
                <w:kern w:val="0"/>
                <w:sz w:val="18"/>
                <w:szCs w:val="18"/>
                <w:highlight w:val="none"/>
                <w:u w:val="none"/>
                <w:lang w:val="en-US" w:eastAsia="zh-CN" w:bidi="ar"/>
              </w:rPr>
              <w:t>年度</w:t>
            </w:r>
          </w:p>
        </w:tc>
        <w:tc>
          <w:tcPr>
            <w:tcW w:w="1841" w:type="pct"/>
            <w:gridSpan w:val="4"/>
            <w:tcBorders>
              <w:top w:val="nil"/>
              <w:left w:val="nil"/>
              <w:bottom w:val="single" w:color="auto" w:sz="4" w:space="0"/>
              <w:right w:val="nil"/>
            </w:tcBorders>
            <w:noWrap/>
            <w:vAlign w:val="bottom"/>
          </w:tcPr>
          <w:p>
            <w:pPr>
              <w:jc w:val="right"/>
              <w:rPr>
                <w:rFonts w:hint="default" w:ascii="Times New Roman" w:hAnsi="Times New Roman" w:cs="Times New Roman" w:eastAsiaTheme="minorEastAsia"/>
                <w:i w:val="0"/>
                <w:iCs w:val="0"/>
                <w:color w:val="000000"/>
                <w:kern w:val="0"/>
                <w:sz w:val="18"/>
                <w:szCs w:val="18"/>
                <w:highlight w:val="none"/>
                <w:u w:val="none"/>
                <w:lang w:val="en-US" w:eastAsia="zh-CN" w:bidi="ar"/>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1674" w:type="pct"/>
            <w:gridSpan w:val="3"/>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人员经费</w:t>
            </w:r>
          </w:p>
        </w:tc>
        <w:tc>
          <w:tcPr>
            <w:tcW w:w="3325" w:type="pct"/>
            <w:gridSpan w:val="8"/>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公用经费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科目代码</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4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eastAsia="zh-CN"/>
              </w:rPr>
            </w:pPr>
            <w:r>
              <w:rPr>
                <w:rFonts w:hint="default" w:ascii="Times New Roman" w:hAnsi="Times New Roman" w:eastAsia="方正仿宋_GB2312" w:cs="Times New Roman"/>
                <w:i w:val="0"/>
                <w:iCs w:val="0"/>
                <w:color w:val="000000"/>
                <w:sz w:val="18"/>
                <w:szCs w:val="18"/>
                <w:highlight w:val="none"/>
                <w:u w:val="none"/>
                <w:lang w:val="en-US" w:eastAsia="zh-CN"/>
              </w:rPr>
              <w:t>科目代码</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eastAsia="zh-CN"/>
              </w:rPr>
            </w:pPr>
            <w:r>
              <w:rPr>
                <w:rFonts w:hint="default" w:ascii="Times New Roman" w:hAnsi="Times New Roman" w:eastAsia="方正仿宋_GB2312" w:cs="Times New Roman"/>
                <w:i w:val="0"/>
                <w:iCs w:val="0"/>
                <w:color w:val="000000"/>
                <w:sz w:val="18"/>
                <w:szCs w:val="18"/>
                <w:highlight w:val="none"/>
                <w:u w:val="none"/>
                <w:lang w:val="en-US" w:eastAsia="zh-CN"/>
              </w:rPr>
              <w:t>科目代码</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4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工资福利支出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5,450.88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商品和服务支出</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719.11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债务利息及费用支出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基本工资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1,911.61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办公费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116.19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国内债务付息</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津贴补贴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1,664.63</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印刷费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0.12</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国外债务付息</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奖金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740.84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30203</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咨询费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资本性支出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伙食补助费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手续费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房屋建筑物购建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绩效工资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18.08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水费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办公设备购置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机关事业单位基本养老保险缴费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506.99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电费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专用设备购置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职业年金缴费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邮电费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183.73</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基础设施建设</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职工基本医疗保险缴费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148.87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取暖费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大型修缮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公务员医疗补助缴费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物业管理费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信息网络及软件购置更新</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其他社会保障缴费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17.99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差旅费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53.69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物资储备</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住房公积金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441.88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土地补偿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医疗费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30213</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维修（护）费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26.97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安置补助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其他工资福利支出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租赁费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地上附着物和青苗补偿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对个人和家庭的补助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222.08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会议费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0.61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拆迁补偿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离休费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培训费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0.24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退休费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220.52</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2.00</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其他交通工具购置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退职（役）费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专用材料费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31021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文物和陈列品购置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抚恤金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被装购置费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31022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无形资产购置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生活补助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1.56</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专用燃料费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其他资本性支出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救济费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劳务费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对企业补助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医疗费补助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委托业务费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资本金注入</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助学金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工会经费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32.17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政府投资基金股权投资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奖励金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福利费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15.87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费用补贴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个人农业生产补贴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30231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46.34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利息补贴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代缴社会保险费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30239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其他交通费用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229.51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其他对企业补助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其他对个人和家庭的补助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30240</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税金及附加费用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30299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其他商品和服务支出</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11.68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国家赔偿费用支出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对民间非营利组织和群众性自治组织补贴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经常性赠与</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资本性赠与</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1225" w:type="pct"/>
            <w:gridSpan w:val="2"/>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sz w:val="18"/>
                <w:szCs w:val="18"/>
                <w:highlight w:val="none"/>
                <w:lang w:val="en-US" w:eastAsia="zh-CN"/>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人员经费合计</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sz w:val="18"/>
                <w:szCs w:val="18"/>
                <w:highlight w:val="none"/>
              </w:rPr>
            </w:pPr>
            <w:r>
              <w:rPr>
                <w:rFonts w:hint="default" w:ascii="Times New Roman" w:hAnsi="Times New Roman" w:cs="Times New Roman" w:eastAsiaTheme="minorEastAsia"/>
                <w:sz w:val="18"/>
                <w:szCs w:val="18"/>
                <w:highlight w:val="none"/>
              </w:rPr>
              <w:t>5,672.97</w:t>
            </w:r>
          </w:p>
        </w:tc>
        <w:tc>
          <w:tcPr>
            <w:tcW w:w="2875" w:type="pct"/>
            <w:gridSpan w:val="7"/>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公用经费合计</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719.11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5000" w:type="pct"/>
            <w:gridSpan w:val="11"/>
            <w:tcBorders>
              <w:top w:val="single" w:color="auto" w:sz="4" w:space="0"/>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注：本表反映部门本年度一般公共预算财政拨款基本支出明细情况。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仿宋_GB2312" w:cs="Times New Roman"/>
          <w:b/>
          <w:color w:val="auto"/>
          <w:kern w:val="0"/>
          <w:sz w:val="32"/>
          <w:szCs w:val="32"/>
          <w:highlight w:val="none"/>
        </w:rPr>
      </w:pPr>
    </w:p>
    <w:tbl>
      <w:tblPr>
        <w:tblStyle w:val="12"/>
        <w:tblW w:w="6517" w:type="pct"/>
        <w:tblInd w:w="-140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60"/>
        <w:gridCol w:w="1474"/>
        <w:gridCol w:w="1306"/>
        <w:gridCol w:w="1027"/>
        <w:gridCol w:w="1107"/>
        <w:gridCol w:w="418"/>
        <w:gridCol w:w="702"/>
        <w:gridCol w:w="1146"/>
        <w:gridCol w:w="20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9"/>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政府性基金预算财政拨款收入支出决算表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5000" w:type="pct"/>
            <w:gridSpan w:val="9"/>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kern w:val="0"/>
                <w:sz w:val="20"/>
                <w:szCs w:val="20"/>
                <w:highlight w:val="none"/>
                <w:u w:val="none"/>
                <w:lang w:val="en-US" w:eastAsia="zh-CN" w:bidi="ar"/>
              </w:rPr>
              <w:t>07</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927" w:type="pct"/>
            <w:gridSpan w:val="3"/>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编制部门（单位）：中国共产党廊坊市纪律检查委员会（本级） </w:t>
            </w:r>
            <w:r>
              <w:rPr>
                <w:rFonts w:hint="default" w:ascii="Times New Roman" w:hAnsi="Times New Roman" w:eastAsia="宋体" w:cs="Times New Roman"/>
                <w:i w:val="0"/>
                <w:iCs w:val="0"/>
                <w:color w:val="000000"/>
                <w:kern w:val="0"/>
                <w:sz w:val="20"/>
                <w:szCs w:val="20"/>
                <w:highlight w:val="none"/>
                <w:u w:val="none"/>
                <w:lang w:val="en-US" w:eastAsia="zh-CN" w:bidi="ar"/>
              </w:rPr>
              <w:t xml:space="preserve">                                                                                     </w:t>
            </w:r>
          </w:p>
        </w:tc>
        <w:tc>
          <w:tcPr>
            <w:tcW w:w="1217"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85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304" w:type="pct"/>
            <w:gridSpan w:val="2"/>
            <w:tcBorders>
              <w:top w:val="single" w:color="auto"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623"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年初结转和结余</w:t>
            </w:r>
          </w:p>
        </w:tc>
        <w:tc>
          <w:tcPr>
            <w:tcW w:w="489"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本年收入</w:t>
            </w:r>
          </w:p>
        </w:tc>
        <w:tc>
          <w:tcPr>
            <w:tcW w:w="1609" w:type="pct"/>
            <w:gridSpan w:val="4"/>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w:t>
            </w:r>
          </w:p>
        </w:tc>
        <w:tc>
          <w:tcPr>
            <w:tcW w:w="973" w:type="pct"/>
            <w:vMerge w:val="restart"/>
            <w:tcBorders>
              <w:top w:val="single" w:color="auto" w:sz="4" w:space="0"/>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年末结转和结余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703"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小计</w:t>
            </w:r>
          </w:p>
        </w:tc>
        <w:tc>
          <w:tcPr>
            <w:tcW w:w="534" w:type="pct"/>
            <w:gridSpan w:val="2"/>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54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c>
          <w:tcPr>
            <w:tcW w:w="973" w:type="pct"/>
            <w:vMerge w:val="continue"/>
            <w:tcBorders>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结转</w:t>
            </w:r>
          </w:p>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703"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34"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4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973" w:type="pct"/>
            <w:vMerge w:val="continue"/>
            <w:tcBorders>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continue"/>
            <w:tcBorders>
              <w:top w:val="nil"/>
              <w:left w:val="single" w:color="000000" w:sz="4" w:space="0"/>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703" w:type="pct"/>
            <w:vMerge w:val="continue"/>
            <w:tcBorders>
              <w:top w:val="nil"/>
              <w:left w:val="nil"/>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34"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4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973" w:type="pct"/>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304"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623" w:type="pct"/>
            <w:tcBorders>
              <w:top w:val="nil"/>
              <w:left w:val="single" w:color="auto"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1</w:t>
            </w:r>
          </w:p>
        </w:tc>
        <w:tc>
          <w:tcPr>
            <w:tcW w:w="489"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2</w:t>
            </w:r>
          </w:p>
        </w:tc>
        <w:tc>
          <w:tcPr>
            <w:tcW w:w="52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3</w:t>
            </w:r>
          </w:p>
        </w:tc>
        <w:tc>
          <w:tcPr>
            <w:tcW w:w="534"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4</w:t>
            </w:r>
          </w:p>
        </w:tc>
        <w:tc>
          <w:tcPr>
            <w:tcW w:w="54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5</w:t>
            </w:r>
          </w:p>
        </w:tc>
        <w:tc>
          <w:tcPr>
            <w:tcW w:w="973"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9" w:hRule="atLeast"/>
        </w:trPr>
        <w:tc>
          <w:tcPr>
            <w:tcW w:w="1304"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623" w:type="pct"/>
            <w:tcBorders>
              <w:top w:val="nil"/>
              <w:left w:val="single" w:color="auto"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48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34"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4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7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注：本表反映部门本年度政府性基金预算财政拨款收入、支出及结转和结余情况。（如无相关数据，则需注明空表列示）</w:t>
            </w:r>
            <w:r>
              <w:rPr>
                <w:rFonts w:hint="default" w:ascii="Times New Roman" w:hAnsi="Times New Roman" w:eastAsia="方正仿宋_GB2312" w:cs="Times New Roman"/>
                <w:i w:val="0"/>
                <w:iCs w:val="0"/>
                <w:color w:val="000000"/>
                <w:kern w:val="0"/>
                <w:sz w:val="20"/>
                <w:szCs w:val="20"/>
                <w:highlight w:val="none"/>
                <w:u w:val="none"/>
                <w:lang w:val="en-US" w:eastAsia="zh-CN" w:bidi="ar"/>
              </w:rPr>
              <w:br w:type="page"/>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宋体" w:cs="Times New Roman"/>
          <w:spacing w:val="-2"/>
          <w:sz w:val="20"/>
          <w:highlight w:val="none"/>
          <w:lang w:val="en-US" w:eastAsia="zh-CN"/>
        </w:rPr>
      </w:pPr>
    </w:p>
    <w:tbl>
      <w:tblPr>
        <w:tblStyle w:val="1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017"/>
        <w:gridCol w:w="731"/>
        <w:gridCol w:w="1296"/>
        <w:gridCol w:w="1332"/>
        <w:gridCol w:w="5"/>
        <w:gridCol w:w="47"/>
        <w:gridCol w:w="1281"/>
        <w:gridCol w:w="10"/>
        <w:gridCol w:w="13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9"/>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国有资本经营预算财政拨款支出决算表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9"/>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公开08表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708" w:type="pct"/>
            <w:gridSpan w:val="2"/>
            <w:tcBorders>
              <w:top w:val="nil"/>
              <w:left w:val="nil"/>
              <w:bottom w:val="single" w:color="auto" w:sz="4" w:space="0"/>
              <w:right w:val="nil"/>
            </w:tcBorders>
            <w:noWrap/>
            <w:vAlign w:val="bottom"/>
          </w:tcPr>
          <w:p>
            <w:pPr>
              <w:keepNext w:val="0"/>
              <w:keepLines w:val="0"/>
              <w:widowControl/>
              <w:suppressLineNumbers w:val="0"/>
              <w:jc w:val="both"/>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编制部门（单位）：中国共产党廊坊市纪律检查委员会（本级）</w:t>
            </w:r>
          </w:p>
        </w:tc>
        <w:tc>
          <w:tcPr>
            <w:tcW w:w="1666" w:type="pct"/>
            <w:gridSpan w:val="4"/>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62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2515" w:type="pct"/>
            <w:gridSpan w:val="3"/>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项目</w:t>
            </w:r>
          </w:p>
        </w:tc>
        <w:tc>
          <w:tcPr>
            <w:tcW w:w="2484" w:type="pct"/>
            <w:gridSpan w:val="6"/>
            <w:vMerge w:val="restart"/>
            <w:tcBorders>
              <w:top w:val="single" w:color="auto" w:sz="4" w:space="0"/>
              <w:left w:val="single" w:color="auto"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本年支出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2515" w:type="pct"/>
            <w:gridSpan w:val="3"/>
            <w:vMerge w:val="continue"/>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2484" w:type="pct"/>
            <w:gridSpan w:val="6"/>
            <w:vMerge w:val="continue"/>
            <w:tcBorders>
              <w:left w:val="single" w:color="auto"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254" w:type="pct"/>
            <w:vMerge w:val="restart"/>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1260"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科目名称</w:t>
            </w:r>
          </w:p>
        </w:tc>
        <w:tc>
          <w:tcPr>
            <w:tcW w:w="831" w:type="pct"/>
            <w:gridSpan w:val="2"/>
            <w:vMerge w:val="restart"/>
            <w:tcBorders>
              <w:top w:val="nil"/>
              <w:left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合计</w:t>
            </w:r>
          </w:p>
        </w:tc>
        <w:tc>
          <w:tcPr>
            <w:tcW w:w="831" w:type="pct"/>
            <w:gridSpan w:val="3"/>
            <w:vMerge w:val="restart"/>
            <w:tcBorders>
              <w:top w:val="nil"/>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基本支出</w:t>
            </w:r>
          </w:p>
        </w:tc>
        <w:tc>
          <w:tcPr>
            <w:tcW w:w="821" w:type="pct"/>
            <w:vMerge w:val="restart"/>
            <w:tcBorders>
              <w:top w:val="nil"/>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项目支出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254" w:type="pct"/>
            <w:vMerge w:val="continue"/>
            <w:tcBorders>
              <w:top w:val="single" w:color="auto" w:sz="4" w:space="0"/>
              <w:left w:val="single" w:color="auto" w:sz="4" w:space="0"/>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260" w:type="pct"/>
            <w:gridSpan w:val="2"/>
            <w:vMerge w:val="continue"/>
            <w:tcBorders>
              <w:top w:val="single" w:color="auto" w:sz="4" w:space="0"/>
              <w:left w:val="nil"/>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31" w:type="pct"/>
            <w:gridSpan w:val="2"/>
            <w:vMerge w:val="continue"/>
            <w:tcBorders>
              <w:left w:val="single" w:color="auto"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31" w:type="pct"/>
            <w:gridSpan w:val="3"/>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21" w:type="pct"/>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2515" w:type="pct"/>
            <w:gridSpan w:val="3"/>
            <w:tcBorders>
              <w:top w:val="single" w:color="auto" w:sz="4" w:space="0"/>
              <w:left w:val="single" w:color="auto" w:sz="4" w:space="0"/>
              <w:bottom w:val="single" w:color="000000"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栏次</w:t>
            </w:r>
          </w:p>
        </w:tc>
        <w:tc>
          <w:tcPr>
            <w:tcW w:w="828" w:type="pct"/>
            <w:tcBorders>
              <w:top w:val="nil"/>
              <w:left w:val="single" w:color="auto"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1</w:t>
            </w:r>
          </w:p>
        </w:tc>
        <w:tc>
          <w:tcPr>
            <w:tcW w:w="828" w:type="pct"/>
            <w:gridSpan w:val="3"/>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2</w:t>
            </w:r>
          </w:p>
        </w:tc>
        <w:tc>
          <w:tcPr>
            <w:tcW w:w="82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2515" w:type="pct"/>
            <w:gridSpan w:val="3"/>
            <w:tcBorders>
              <w:top w:val="single" w:color="000000" w:sz="4" w:space="0"/>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合计</w:t>
            </w:r>
          </w:p>
        </w:tc>
        <w:tc>
          <w:tcPr>
            <w:tcW w:w="828" w:type="pct"/>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28" w:type="pct"/>
            <w:gridSpan w:val="3"/>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28" w:type="pct"/>
            <w:gridSpan w:val="2"/>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注：本表反映部门本年度国有资本经营预算财政拨款支出情况。（如无相关数据，则需注明空表列示）</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pPr w:leftFromText="180" w:rightFromText="180" w:vertAnchor="text" w:horzAnchor="page" w:tblpX="282" w:tblpY="39"/>
        <w:tblOverlap w:val="never"/>
        <w:tblW w:w="7211"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87"/>
        <w:gridCol w:w="1226"/>
        <w:gridCol w:w="814"/>
        <w:gridCol w:w="946"/>
        <w:gridCol w:w="519"/>
        <w:gridCol w:w="544"/>
        <w:gridCol w:w="777"/>
        <w:gridCol w:w="845"/>
        <w:gridCol w:w="5"/>
        <w:gridCol w:w="1133"/>
        <w:gridCol w:w="640"/>
        <w:gridCol w:w="1027"/>
        <w:gridCol w:w="946"/>
        <w:gridCol w:w="11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14"/>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财政拨款“三公”经费支出决算表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5000" w:type="pct"/>
            <w:gridSpan w:val="14"/>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公开09表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1936" w:type="pct"/>
            <w:gridSpan w:val="5"/>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编制部门（单位）：中国共产党廊坊市纪律检查委员会（本级）</w:t>
            </w:r>
          </w:p>
        </w:tc>
        <w:tc>
          <w:tcPr>
            <w:tcW w:w="933"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2023</w:t>
            </w:r>
            <w:r>
              <w:rPr>
                <w:rFonts w:hint="default" w:ascii="Times New Roman" w:hAnsi="Times New Roman" w:eastAsia="方正仿宋_GB2312" w:cs="Times New Roman"/>
                <w:i w:val="0"/>
                <w:iCs w:val="0"/>
                <w:color w:val="000000"/>
                <w:kern w:val="0"/>
                <w:sz w:val="18"/>
                <w:szCs w:val="18"/>
                <w:highlight w:val="none"/>
                <w:u w:val="none"/>
                <w:lang w:val="en-US" w:eastAsia="zh-CN" w:bidi="ar"/>
              </w:rPr>
              <w:t>年度</w:t>
            </w:r>
          </w:p>
        </w:tc>
        <w:tc>
          <w:tcPr>
            <w:tcW w:w="2129" w:type="pct"/>
            <w:gridSpan w:val="6"/>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2506" w:type="pct"/>
            <w:gridSpan w:val="7"/>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预算数</w:t>
            </w:r>
          </w:p>
        </w:tc>
        <w:tc>
          <w:tcPr>
            <w:tcW w:w="2493" w:type="pct"/>
            <w:gridSpan w:val="7"/>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决算数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vMerge w:val="restar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合计</w:t>
            </w:r>
          </w:p>
        </w:tc>
        <w:tc>
          <w:tcPr>
            <w:tcW w:w="528"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w:t>
            </w:r>
          </w:p>
        </w:tc>
        <w:tc>
          <w:tcPr>
            <w:tcW w:w="1217" w:type="pct"/>
            <w:gridSpan w:val="4"/>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公务用车购置及运行维护费</w:t>
            </w:r>
          </w:p>
        </w:tc>
        <w:tc>
          <w:tcPr>
            <w:tcW w:w="335"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c>
          <w:tcPr>
            <w:tcW w:w="366" w:type="pct"/>
            <w:gridSpan w:val="2"/>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合计</w:t>
            </w:r>
          </w:p>
        </w:tc>
        <w:tc>
          <w:tcPr>
            <w:tcW w:w="488"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w:t>
            </w:r>
          </w:p>
        </w:tc>
        <w:tc>
          <w:tcPr>
            <w:tcW w:w="1126" w:type="pct"/>
            <w:gridSpan w:val="3"/>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公务用车购置及运行维护费</w:t>
            </w:r>
          </w:p>
        </w:tc>
        <w:tc>
          <w:tcPr>
            <w:tcW w:w="511"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vMerge w:val="continue"/>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528"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35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小计</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公务用车购置费</w:t>
            </w:r>
          </w:p>
        </w:tc>
        <w:tc>
          <w:tcPr>
            <w:tcW w:w="45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3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366" w:type="pct"/>
            <w:gridSpan w:val="2"/>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488"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27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小计</w:t>
            </w:r>
          </w:p>
        </w:tc>
        <w:tc>
          <w:tcPr>
            <w:tcW w:w="442"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公务用车购置费</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511"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w:t>
            </w:r>
          </w:p>
        </w:tc>
        <w:tc>
          <w:tcPr>
            <w:tcW w:w="52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2</w:t>
            </w:r>
          </w:p>
        </w:tc>
        <w:tc>
          <w:tcPr>
            <w:tcW w:w="35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3</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4</w:t>
            </w:r>
          </w:p>
        </w:tc>
        <w:tc>
          <w:tcPr>
            <w:tcW w:w="45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5</w:t>
            </w:r>
          </w:p>
        </w:tc>
        <w:tc>
          <w:tcPr>
            <w:tcW w:w="33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6</w:t>
            </w:r>
          </w:p>
        </w:tc>
        <w:tc>
          <w:tcPr>
            <w:tcW w:w="36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7</w:t>
            </w:r>
          </w:p>
        </w:tc>
        <w:tc>
          <w:tcPr>
            <w:tcW w:w="48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8</w:t>
            </w:r>
          </w:p>
        </w:tc>
        <w:tc>
          <w:tcPr>
            <w:tcW w:w="27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9</w:t>
            </w:r>
          </w:p>
        </w:tc>
        <w:tc>
          <w:tcPr>
            <w:tcW w:w="442"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10</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11</w:t>
            </w:r>
          </w:p>
        </w:tc>
        <w:tc>
          <w:tcPr>
            <w:tcW w:w="511"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tcBorders>
              <w:top w:val="nil"/>
              <w:left w:val="single" w:color="000000" w:sz="4" w:space="0"/>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91.50</w:t>
            </w:r>
          </w:p>
        </w:tc>
        <w:tc>
          <w:tcPr>
            <w:tcW w:w="52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35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89.13</w:t>
            </w:r>
          </w:p>
        </w:tc>
        <w:tc>
          <w:tcPr>
            <w:tcW w:w="407"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458"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89.13</w:t>
            </w:r>
          </w:p>
        </w:tc>
        <w:tc>
          <w:tcPr>
            <w:tcW w:w="33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2.37</w:t>
            </w:r>
          </w:p>
        </w:tc>
        <w:tc>
          <w:tcPr>
            <w:tcW w:w="36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71.32</w:t>
            </w:r>
          </w:p>
        </w:tc>
        <w:tc>
          <w:tcPr>
            <w:tcW w:w="48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27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69.32</w:t>
            </w:r>
          </w:p>
        </w:tc>
        <w:tc>
          <w:tcPr>
            <w:tcW w:w="44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407"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69.32</w:t>
            </w:r>
          </w:p>
        </w:tc>
        <w:tc>
          <w:tcPr>
            <w:tcW w:w="511"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2.00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5000" w:type="pct"/>
            <w:gridSpan w:val="14"/>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注：本表反映部门本年度财政拨款“三公”经费支出预决算情况。其中：预算数为“三公”经费全年预算数，反映按规定程序调整后的预算数；决算数是包括当年财政拨款和以前年度结转资金安排的实际支出。</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outlineLvl w:val="9"/>
        <w:rPr>
          <w:rFonts w:hint="default" w:ascii="Times New Roman" w:hAnsi="Times New Roman" w:eastAsia="仿宋_GB2312" w:cs="Times New Roman"/>
          <w:b/>
          <w:color w:val="auto"/>
          <w:kern w:val="0"/>
          <w:sz w:val="32"/>
          <w:szCs w:val="32"/>
          <w:highlight w:val="none"/>
        </w:rPr>
        <w:sectPr>
          <w:pgSz w:w="11906" w:h="16838"/>
          <w:pgMar w:top="1531" w:right="1984" w:bottom="1531" w:left="2098" w:header="851" w:footer="992" w:gutter="0"/>
          <w:pgBorders>
            <w:top w:val="none" w:sz="0" w:space="0"/>
            <w:left w:val="none" w:sz="0" w:space="0"/>
            <w:bottom w:val="none" w:sz="0" w:space="0"/>
            <w:right w:val="none" w:sz="0" w:space="0"/>
          </w:pgBorders>
          <w:cols w:space="720" w:num="1"/>
          <w:docGrid w:type="lines" w:linePitch="312" w:charSpace="0"/>
        </w:sect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outlineLvl w:val="0"/>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第三部分</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spacing w:val="-20"/>
          <w:highlight w:val="none"/>
        </w:rPr>
      </w:pPr>
      <w:r>
        <w:rPr>
          <w:rFonts w:hint="default" w:ascii="Times New Roman" w:hAnsi="Times New Roman" w:eastAsia="黑体" w:cs="Times New Roman"/>
          <w:i w:val="0"/>
          <w:iCs w:val="0"/>
          <w:caps w:val="0"/>
          <w:color w:val="000000"/>
          <w:spacing w:val="-20"/>
          <w:sz w:val="72"/>
          <w:szCs w:val="72"/>
          <w:highlight w:val="none"/>
          <w:shd w:val="clear" w:fill="FFFFFF"/>
        </w:rPr>
        <w:t>202</w:t>
      </w:r>
      <w:r>
        <w:rPr>
          <w:rFonts w:hint="default" w:ascii="Times New Roman" w:hAnsi="Times New Roman" w:eastAsia="黑体" w:cs="Times New Roman"/>
          <w:i w:val="0"/>
          <w:iCs w:val="0"/>
          <w:caps w:val="0"/>
          <w:color w:val="000000"/>
          <w:spacing w:val="-20"/>
          <w:sz w:val="72"/>
          <w:szCs w:val="72"/>
          <w:highlight w:val="none"/>
          <w:shd w:val="clear" w:fill="FFFFFF"/>
          <w:lang w:val="en-US" w:eastAsia="zh-CN"/>
        </w:rPr>
        <w:t>3</w:t>
      </w:r>
      <w:r>
        <w:rPr>
          <w:rFonts w:hint="default" w:ascii="Times New Roman" w:hAnsi="Times New Roman" w:eastAsia="黑体" w:cs="Times New Roman"/>
          <w:i w:val="0"/>
          <w:iCs w:val="0"/>
          <w:caps w:val="0"/>
          <w:color w:val="000000"/>
          <w:spacing w:val="-20"/>
          <w:sz w:val="72"/>
          <w:szCs w:val="72"/>
          <w:highlight w:val="none"/>
          <w:shd w:val="clear" w:fill="FFFFFF"/>
        </w:rPr>
        <w:t>年</w:t>
      </w:r>
      <w:r>
        <w:rPr>
          <w:rFonts w:hint="default" w:ascii="Times New Roman" w:hAnsi="Times New Roman" w:eastAsia="黑体" w:cs="Times New Roman"/>
          <w:i w:val="0"/>
          <w:iCs w:val="0"/>
          <w:caps w:val="0"/>
          <w:color w:val="000000"/>
          <w:spacing w:val="-20"/>
          <w:sz w:val="72"/>
          <w:szCs w:val="72"/>
          <w:highlight w:val="none"/>
          <w:shd w:val="clear" w:fill="FFFFFF"/>
          <w:lang w:val="en-US" w:eastAsia="zh-CN"/>
        </w:rPr>
        <w:t>度</w:t>
      </w:r>
      <w:r>
        <w:rPr>
          <w:rFonts w:hint="default" w:ascii="Times New Roman" w:hAnsi="Times New Roman" w:eastAsia="黑体" w:cs="Times New Roman"/>
          <w:i w:val="0"/>
          <w:iCs w:val="0"/>
          <w:caps w:val="0"/>
          <w:color w:val="000000"/>
          <w:spacing w:val="-20"/>
          <w:sz w:val="72"/>
          <w:szCs w:val="72"/>
          <w:highlight w:val="none"/>
          <w:shd w:val="clear" w:fill="FFFFFF"/>
        </w:rPr>
        <w:t>部门决算情况说明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i w:val="0"/>
          <w:iCs w:val="0"/>
          <w:caps w:val="0"/>
          <w:color w:val="000000"/>
          <w:spacing w:val="0"/>
          <w:sz w:val="18"/>
          <w:szCs w:val="18"/>
          <w:highlight w:val="none"/>
          <w:shd w:val="clear" w:fill="FFFFFF"/>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rPr>
          <w:rFonts w:hint="default" w:ascii="Times New Roman" w:hAnsi="Times New Roman" w:eastAsia="Arial" w:cs="Times New Roman"/>
          <w:i w:val="0"/>
          <w:iCs w:val="0"/>
          <w:caps w:val="0"/>
          <w:color w:val="000000"/>
          <w:spacing w:val="0"/>
          <w:sz w:val="18"/>
          <w:szCs w:val="18"/>
          <w:highlight w:val="none"/>
          <w:shd w:val="clear" w:fill="FFFFFF"/>
        </w:rPr>
      </w:pPr>
      <w:r>
        <w:rPr>
          <w:rFonts w:hint="default" w:ascii="Times New Roman" w:hAnsi="Times New Roman" w:eastAsia="Arial" w:cs="Times New Roman"/>
          <w:i w:val="0"/>
          <w:iCs w:val="0"/>
          <w:caps w:val="0"/>
          <w:color w:val="000000"/>
          <w:spacing w:val="0"/>
          <w:sz w:val="18"/>
          <w:szCs w:val="18"/>
          <w:highlight w:val="none"/>
          <w:shd w:val="clear" w:fill="FFFFFF"/>
        </w:rPr>
        <w:br w:type="page"/>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i w:val="0"/>
          <w:iCs w:val="0"/>
          <w:caps w:val="0"/>
          <w:color w:val="000000"/>
          <w:spacing w:val="0"/>
          <w:sz w:val="18"/>
          <w:szCs w:val="18"/>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一、收入支出决算总体情况说明</w:t>
      </w:r>
    </w:p>
    <w:p>
      <w:p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en-US" w:eastAsia="zh-CN" w:bidi="ar-SA"/>
        </w:rPr>
      </w:pPr>
      <w:r>
        <w:rPr>
          <w:rFonts w:hint="default" w:ascii="Times New Roman" w:hAnsi="Times New Roman" w:eastAsia="仿宋_GB2312" w:cs="Times New Roman"/>
          <w:kern w:val="2"/>
          <w:sz w:val="32"/>
          <w:szCs w:val="32"/>
          <w:lang w:eastAsia="zh-CN"/>
        </w:rPr>
        <w:t>本单位2023年度收、支总计（含结转和结余）</w:t>
      </w:r>
      <w:r>
        <w:rPr>
          <w:rFonts w:hint="default" w:ascii="Times New Roman" w:hAnsi="Times New Roman" w:eastAsia="仿宋_GB2312" w:cs="Times New Roman"/>
          <w:kern w:val="2"/>
          <w:sz w:val="32"/>
          <w:szCs w:val="32"/>
          <w:lang w:val="zh-CN" w:eastAsia="zh-CN"/>
        </w:rPr>
        <w:t>8,431.69</w:t>
      </w:r>
      <w:r>
        <w:rPr>
          <w:rFonts w:hint="default" w:ascii="Times New Roman" w:hAnsi="Times New Roman" w:eastAsia="仿宋_GB2312" w:cs="Times New Roman"/>
          <w:kern w:val="2"/>
          <w:sz w:val="32"/>
          <w:szCs w:val="32"/>
          <w:lang w:eastAsia="zh-CN"/>
        </w:rPr>
        <w:t>万元。与2022年度决算相比，收支各增加</w:t>
      </w:r>
      <w:r>
        <w:rPr>
          <w:rFonts w:hint="default" w:ascii="Times New Roman" w:hAnsi="Times New Roman" w:eastAsia="仿宋_GB2312" w:cs="Times New Roman"/>
          <w:kern w:val="2"/>
          <w:sz w:val="32"/>
          <w:szCs w:val="32"/>
          <w:lang w:val="en-US" w:eastAsia="zh-CN"/>
        </w:rPr>
        <w:t>312.63</w:t>
      </w:r>
      <w:r>
        <w:rPr>
          <w:rFonts w:hint="default" w:ascii="Times New Roman" w:hAnsi="Times New Roman" w:eastAsia="仿宋_GB2312" w:cs="Times New Roman"/>
          <w:kern w:val="2"/>
          <w:sz w:val="32"/>
          <w:szCs w:val="32"/>
          <w:lang w:eastAsia="zh-CN"/>
        </w:rPr>
        <w:t>万元，增长</w:t>
      </w:r>
      <w:r>
        <w:rPr>
          <w:rFonts w:hint="default" w:ascii="Times New Roman" w:hAnsi="Times New Roman" w:eastAsia="仿宋_GB2312" w:cs="Times New Roman"/>
          <w:kern w:val="2"/>
          <w:sz w:val="32"/>
          <w:szCs w:val="32"/>
          <w:lang w:val="en-US" w:eastAsia="zh-CN"/>
        </w:rPr>
        <w:t>3.85</w:t>
      </w:r>
      <w:r>
        <w:rPr>
          <w:rFonts w:hint="default" w:ascii="Times New Roman" w:hAnsi="Times New Roman" w:eastAsia="仿宋_GB2312" w:cs="Times New Roman"/>
          <w:kern w:val="2"/>
          <w:sz w:val="32"/>
          <w:szCs w:val="32"/>
          <w:lang w:eastAsia="zh-CN"/>
        </w:rPr>
        <w:t>%，主要原因是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kern w:val="2"/>
          <w:sz w:val="32"/>
          <w:szCs w:val="32"/>
          <w:lang w:eastAsia="zh-CN"/>
        </w:rPr>
        <w:t>。</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二、收入决算情况说明</w:t>
      </w:r>
    </w:p>
    <w:p>
      <w:p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kern w:val="2"/>
          <w:sz w:val="32"/>
          <w:szCs w:val="32"/>
          <w:lang w:val="zh-CN" w:eastAsia="zh-CN"/>
        </w:rPr>
        <w:t>本单位2023</w:t>
      </w:r>
      <w:r>
        <w:rPr>
          <w:rFonts w:hint="default" w:ascii="Times New Roman" w:hAnsi="Times New Roman" w:eastAsia="仿宋_GB2312" w:cs="Times New Roman"/>
          <w:kern w:val="2"/>
          <w:sz w:val="32"/>
          <w:szCs w:val="32"/>
          <w:lang w:val="zh-CN"/>
        </w:rPr>
        <w:t>年度本年收入合计</w:t>
      </w:r>
      <w:r>
        <w:rPr>
          <w:rFonts w:hint="default" w:ascii="Times New Roman" w:hAnsi="Times New Roman" w:eastAsia="仿宋_GB2312" w:cs="Times New Roman"/>
          <w:sz w:val="30"/>
          <w:szCs w:val="30"/>
          <w:highlight w:val="none"/>
          <w:lang w:eastAsia="zh-CN"/>
        </w:rPr>
        <w:t>8,401.64</w:t>
      </w:r>
      <w:r>
        <w:rPr>
          <w:rFonts w:hint="default" w:ascii="Times New Roman" w:hAnsi="Times New Roman" w:eastAsia="仿宋_GB2312" w:cs="Times New Roman"/>
          <w:kern w:val="2"/>
          <w:sz w:val="32"/>
          <w:szCs w:val="32"/>
          <w:lang w:val="zh-CN" w:eastAsia="zh-CN"/>
        </w:rPr>
        <w:t>万元</w:t>
      </w:r>
      <w:r>
        <w:rPr>
          <w:rFonts w:hint="default" w:ascii="Times New Roman" w:hAnsi="Times New Roman" w:eastAsia="仿宋_GB2312" w:cs="Times New Roman"/>
          <w:kern w:val="2"/>
          <w:sz w:val="32"/>
          <w:szCs w:val="32"/>
          <w:lang w:val="zh-CN"/>
        </w:rPr>
        <w:t>，其中：财政拨款收入8,401.64万元，占100%；上级补助收入0万元，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0%；事业收入0万元，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0%；经营收入0万元，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0%；附属单位上缴收入0万元，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0%；其他收入0万元，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0%。</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三、支出决算情况说明</w:t>
      </w:r>
    </w:p>
    <w:p>
      <w:pPr>
        <w:autoSpaceDE w:val="0"/>
        <w:autoSpaceDN w:val="0"/>
        <w:adjustRightInd w:val="0"/>
        <w:spacing w:line="580" w:lineRule="exact"/>
        <w:ind w:firstLine="6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kern w:val="2"/>
          <w:sz w:val="32"/>
          <w:szCs w:val="32"/>
          <w:lang w:val="zh-CN" w:eastAsia="zh-CN"/>
        </w:rPr>
        <w:t>本单位2023</w:t>
      </w:r>
      <w:r>
        <w:rPr>
          <w:rFonts w:hint="default" w:ascii="Times New Roman" w:hAnsi="Times New Roman" w:eastAsia="仿宋_GB2312" w:cs="Times New Roman"/>
          <w:kern w:val="2"/>
          <w:sz w:val="32"/>
          <w:szCs w:val="32"/>
          <w:lang w:val="zh-CN"/>
        </w:rPr>
        <w:t>年度本年支出合计</w:t>
      </w:r>
      <w:r>
        <w:rPr>
          <w:rFonts w:hint="default" w:ascii="Times New Roman" w:hAnsi="Times New Roman" w:eastAsia="仿宋_GB2312" w:cs="Times New Roman"/>
          <w:kern w:val="2"/>
          <w:sz w:val="32"/>
          <w:szCs w:val="32"/>
          <w:lang w:val="zh-CN" w:eastAsia="zh-CN"/>
        </w:rPr>
        <w:t>8,318.55万元</w:t>
      </w:r>
      <w:r>
        <w:rPr>
          <w:rFonts w:hint="default" w:ascii="Times New Roman" w:hAnsi="Times New Roman" w:eastAsia="仿宋_GB2312" w:cs="Times New Roman"/>
          <w:kern w:val="2"/>
          <w:sz w:val="32"/>
          <w:szCs w:val="32"/>
          <w:lang w:val="zh-CN"/>
        </w:rPr>
        <w:t>，其中：基本支出</w:t>
      </w:r>
      <w:r>
        <w:rPr>
          <w:rFonts w:hint="default" w:ascii="Times New Roman" w:hAnsi="Times New Roman" w:eastAsia="仿宋_GB2312" w:cs="Times New Roman"/>
          <w:kern w:val="2"/>
          <w:sz w:val="32"/>
          <w:szCs w:val="32"/>
          <w:lang w:val="zh-CN" w:eastAsia="zh-CN"/>
        </w:rPr>
        <w:t>6,392.08万元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占76.84%；</w:t>
      </w:r>
      <w:r>
        <w:rPr>
          <w:rFonts w:hint="default" w:ascii="Times New Roman" w:hAnsi="Times New Roman" w:eastAsia="仿宋_GB2312" w:cs="Times New Roman"/>
          <w:kern w:val="2"/>
          <w:sz w:val="32"/>
          <w:szCs w:val="32"/>
          <w:lang w:val="zh-CN"/>
        </w:rPr>
        <w:t>项目支出</w:t>
      </w:r>
      <w:r>
        <w:rPr>
          <w:rFonts w:hint="default" w:ascii="Times New Roman" w:hAnsi="Times New Roman" w:eastAsia="仿宋_GB2312" w:cs="Times New Roman"/>
          <w:kern w:val="2"/>
          <w:sz w:val="32"/>
          <w:szCs w:val="32"/>
          <w:lang w:val="zh-CN" w:eastAsia="zh-CN"/>
        </w:rPr>
        <w:t>1,926.47万元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占23.16%；</w:t>
      </w:r>
      <w:r>
        <w:rPr>
          <w:rFonts w:hint="default" w:ascii="Times New Roman" w:hAnsi="Times New Roman" w:eastAsia="仿宋_GB2312" w:cs="Times New Roman"/>
          <w:kern w:val="2"/>
          <w:sz w:val="32"/>
          <w:szCs w:val="32"/>
          <w:lang w:val="zh-CN"/>
        </w:rPr>
        <w:t>上缴上级支出</w:t>
      </w:r>
      <w:r>
        <w:rPr>
          <w:rFonts w:hint="default" w:ascii="Times New Roman" w:hAnsi="Times New Roman" w:eastAsia="仿宋_GB2312" w:cs="Times New Roman"/>
          <w:kern w:val="2"/>
          <w:sz w:val="32"/>
          <w:szCs w:val="32"/>
          <w:lang w:val="zh-CN" w:eastAsia="zh-CN"/>
        </w:rPr>
        <w:t>0万元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占0%；</w:t>
      </w:r>
      <w:r>
        <w:rPr>
          <w:rFonts w:hint="default" w:ascii="Times New Roman" w:hAnsi="Times New Roman" w:eastAsia="仿宋_GB2312" w:cs="Times New Roman"/>
          <w:kern w:val="2"/>
          <w:sz w:val="32"/>
          <w:szCs w:val="32"/>
          <w:lang w:val="zh-CN"/>
        </w:rPr>
        <w:t>经营支出</w:t>
      </w:r>
      <w:r>
        <w:rPr>
          <w:rFonts w:hint="default" w:ascii="Times New Roman" w:hAnsi="Times New Roman" w:eastAsia="仿宋_GB2312" w:cs="Times New Roman"/>
          <w:kern w:val="2"/>
          <w:sz w:val="32"/>
          <w:szCs w:val="32"/>
          <w:lang w:val="zh-CN" w:eastAsia="zh-CN"/>
        </w:rPr>
        <w:t>0万元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占0%；</w:t>
      </w:r>
      <w:r>
        <w:rPr>
          <w:rFonts w:hint="default" w:ascii="Times New Roman" w:hAnsi="Times New Roman" w:eastAsia="仿宋_GB2312" w:cs="Times New Roman"/>
          <w:kern w:val="2"/>
          <w:sz w:val="32"/>
          <w:szCs w:val="32"/>
          <w:lang w:val="zh-CN"/>
        </w:rPr>
        <w:t>对附属单位补助支出</w:t>
      </w:r>
      <w:r>
        <w:rPr>
          <w:rFonts w:hint="default" w:ascii="Times New Roman" w:hAnsi="Times New Roman" w:eastAsia="仿宋_GB2312" w:cs="Times New Roman"/>
          <w:kern w:val="2"/>
          <w:sz w:val="32"/>
          <w:szCs w:val="32"/>
          <w:lang w:val="zh-CN" w:eastAsia="zh-CN"/>
        </w:rPr>
        <w:t>0万元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占0%。</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Arial" w:cs="Times New Roman"/>
          <w:highlight w:val="none"/>
        </w:rPr>
      </w:pPr>
      <w:r>
        <w:rPr>
          <w:rFonts w:hint="default" w:ascii="Times New Roman" w:hAnsi="Times New Roman" w:eastAsia="黑体" w:cs="Times New Roman"/>
          <w:kern w:val="2"/>
          <w:sz w:val="32"/>
          <w:szCs w:val="32"/>
          <w:lang w:val="en-US" w:eastAsia="zh-CN" w:bidi="ar-SA"/>
        </w:rPr>
        <w:t>四、财政拨款收入支出决算总体情况说明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left"/>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（一）财政拨款收支与2022年度决算对比情况</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right="0" w:firstLine="640" w:firstLineChars="200"/>
        <w:jc w:val="left"/>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年度财政拨款本年收入8,401.64</w:t>
      </w:r>
      <w:r>
        <w:rPr>
          <w:rFonts w:hint="default" w:ascii="Times New Roman" w:hAnsi="Times New Roman" w:eastAsia="仿宋_GB2312" w:cs="Times New Roman"/>
          <w:color w:val="auto"/>
          <w:kern w:val="2"/>
          <w:sz w:val="32"/>
          <w:szCs w:val="32"/>
          <w:lang w:val="en-US" w:eastAsia="zh-CN" w:bidi="ar-SA"/>
        </w:rPr>
        <w:t>万</w:t>
      </w:r>
      <w:r>
        <w:rPr>
          <w:rFonts w:hint="default" w:ascii="Times New Roman" w:hAnsi="Times New Roman" w:eastAsia="仿宋_GB2312" w:cs="Times New Roman"/>
          <w:color w:val="auto"/>
          <w:kern w:val="2"/>
          <w:sz w:val="32"/>
          <w:szCs w:val="32"/>
          <w:lang w:val="zh-CN" w:eastAsia="zh-CN" w:bidi="ar-SA"/>
        </w:rPr>
        <w:t>元，比</w:t>
      </w:r>
      <w:r>
        <w:rPr>
          <w:rFonts w:hint="default" w:ascii="Times New Roman" w:hAnsi="Times New Roman" w:eastAsia="仿宋_GB2312" w:cs="Times New Roman"/>
          <w:color w:val="auto"/>
          <w:kern w:val="2"/>
          <w:sz w:val="32"/>
          <w:szCs w:val="32"/>
          <w:lang w:val="en-US" w:eastAsia="zh-CN" w:bidi="ar-SA"/>
        </w:rPr>
        <w:t>2022</w:t>
      </w:r>
      <w:r>
        <w:rPr>
          <w:rFonts w:hint="default" w:ascii="Times New Roman" w:hAnsi="Times New Roman" w:eastAsia="仿宋_GB2312" w:cs="Times New Roman"/>
          <w:color w:val="auto"/>
          <w:kern w:val="2"/>
          <w:sz w:val="32"/>
          <w:szCs w:val="32"/>
          <w:lang w:val="zh-CN" w:eastAsia="zh-CN" w:bidi="ar-SA"/>
        </w:rPr>
        <w:t>年增加</w:t>
      </w:r>
      <w:r>
        <w:rPr>
          <w:rFonts w:hint="default" w:ascii="Times New Roman" w:hAnsi="Times New Roman" w:eastAsia="仿宋_GB2312" w:cs="Times New Roman"/>
          <w:kern w:val="2"/>
          <w:sz w:val="32"/>
          <w:szCs w:val="32"/>
          <w:lang w:val="en-US" w:eastAsia="zh-CN"/>
        </w:rPr>
        <w:t>312.63</w:t>
      </w:r>
      <w:r>
        <w:rPr>
          <w:rFonts w:hint="default" w:ascii="Times New Roman" w:hAnsi="Times New Roman" w:eastAsia="仿宋_GB2312" w:cs="Times New Roman"/>
          <w:kern w:val="2"/>
          <w:sz w:val="32"/>
          <w:szCs w:val="32"/>
          <w:lang w:eastAsia="zh-CN"/>
        </w:rPr>
        <w:t>万元，增长</w:t>
      </w:r>
      <w:r>
        <w:rPr>
          <w:rFonts w:hint="default" w:ascii="Times New Roman" w:hAnsi="Times New Roman" w:eastAsia="仿宋_GB2312" w:cs="Times New Roman"/>
          <w:kern w:val="2"/>
          <w:sz w:val="32"/>
          <w:szCs w:val="32"/>
          <w:lang w:val="en-US" w:eastAsia="zh-CN"/>
        </w:rPr>
        <w:t>3.85</w:t>
      </w:r>
      <w:r>
        <w:rPr>
          <w:rFonts w:hint="default" w:ascii="Times New Roman" w:hAnsi="Times New Roman" w:eastAsia="仿宋_GB2312" w:cs="Times New Roman"/>
          <w:kern w:val="2"/>
          <w:sz w:val="32"/>
          <w:szCs w:val="32"/>
          <w:lang w:eastAsia="zh-CN"/>
        </w:rPr>
        <w:t>%，主要是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color w:val="auto"/>
          <w:kern w:val="2"/>
          <w:sz w:val="32"/>
          <w:szCs w:val="32"/>
          <w:lang w:val="zh-CN" w:eastAsia="zh-CN" w:bidi="ar-SA"/>
        </w:rPr>
        <w:t>；本年支出 8,318.55万元，比</w:t>
      </w:r>
      <w:r>
        <w:rPr>
          <w:rFonts w:hint="default" w:ascii="Times New Roman" w:hAnsi="Times New Roman" w:eastAsia="仿宋_GB2312" w:cs="Times New Roman"/>
          <w:color w:val="auto"/>
          <w:kern w:val="2"/>
          <w:sz w:val="32"/>
          <w:szCs w:val="32"/>
          <w:lang w:val="en-US" w:eastAsia="zh-CN" w:bidi="ar-SA"/>
        </w:rPr>
        <w:t>2022</w:t>
      </w:r>
      <w:r>
        <w:rPr>
          <w:rFonts w:hint="default" w:ascii="Times New Roman" w:hAnsi="Times New Roman" w:eastAsia="仿宋_GB2312" w:cs="Times New Roman"/>
          <w:color w:val="auto"/>
          <w:kern w:val="2"/>
          <w:sz w:val="32"/>
          <w:szCs w:val="32"/>
          <w:lang w:val="zh-CN" w:eastAsia="zh-CN" w:bidi="ar-SA"/>
        </w:rPr>
        <w:t>年增加</w:t>
      </w:r>
      <w:r>
        <w:rPr>
          <w:rFonts w:hint="default" w:ascii="Times New Roman" w:hAnsi="Times New Roman" w:eastAsia="仿宋_GB2312" w:cs="Times New Roman"/>
          <w:color w:val="auto"/>
          <w:kern w:val="2"/>
          <w:sz w:val="32"/>
          <w:szCs w:val="32"/>
          <w:lang w:val="en-US" w:eastAsia="zh-CN" w:bidi="ar-SA"/>
        </w:rPr>
        <w:t>199.49</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2.46</w:t>
      </w:r>
      <w:r>
        <w:rPr>
          <w:rFonts w:hint="default" w:ascii="Times New Roman" w:hAnsi="Times New Roman" w:eastAsia="仿宋_GB2312" w:cs="Times New Roman"/>
          <w:color w:val="auto"/>
          <w:kern w:val="2"/>
          <w:sz w:val="32"/>
          <w:szCs w:val="32"/>
          <w:lang w:val="zh-CN" w:eastAsia="zh-CN" w:bidi="ar-SA"/>
        </w:rPr>
        <w:t>%，</w:t>
      </w:r>
      <w:r>
        <w:rPr>
          <w:rFonts w:hint="default" w:ascii="Times New Roman" w:hAnsi="Times New Roman" w:eastAsia="仿宋_GB2312" w:cs="Times New Roman"/>
          <w:kern w:val="2"/>
          <w:sz w:val="32"/>
          <w:szCs w:val="32"/>
          <w:lang w:eastAsia="zh-CN"/>
        </w:rPr>
        <w:t>主要是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color w:val="auto"/>
          <w:kern w:val="2"/>
          <w:sz w:val="32"/>
          <w:szCs w:val="32"/>
          <w:lang w:val="zh-CN" w:eastAsia="zh-CN" w:bidi="ar-SA"/>
        </w:rPr>
        <w:t>。具体情况如下：</w:t>
      </w:r>
    </w:p>
    <w:p>
      <w:pPr>
        <w:numPr>
          <w:ilvl w:val="0"/>
          <w:numId w:val="2"/>
        </w:num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kern w:val="2"/>
          <w:sz w:val="32"/>
          <w:szCs w:val="32"/>
          <w:lang w:val="zh-CN"/>
        </w:rPr>
        <w:t>一般公共预算财政拨款本年收入8,401.64</w:t>
      </w:r>
      <w:r>
        <w:rPr>
          <w:rFonts w:hint="default" w:ascii="Times New Roman" w:hAnsi="Times New Roman" w:eastAsia="仿宋_GB2312" w:cs="Times New Roman"/>
          <w:kern w:val="2"/>
          <w:sz w:val="32"/>
          <w:szCs w:val="32"/>
          <w:lang w:val="zh-CN" w:eastAsia="zh-CN"/>
        </w:rPr>
        <w:t>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color w:val="auto"/>
          <w:kern w:val="2"/>
          <w:sz w:val="32"/>
          <w:szCs w:val="32"/>
          <w:lang w:val="zh-CN" w:eastAsia="zh-CN" w:bidi="ar-SA"/>
        </w:rPr>
        <w:t>比</w:t>
      </w:r>
      <w:r>
        <w:rPr>
          <w:rFonts w:hint="default" w:ascii="Times New Roman" w:hAnsi="Times New Roman" w:eastAsia="仿宋_GB2312" w:cs="Times New Roman"/>
          <w:color w:val="auto"/>
          <w:kern w:val="2"/>
          <w:sz w:val="32"/>
          <w:szCs w:val="32"/>
          <w:lang w:val="en-US" w:eastAsia="zh-CN" w:bidi="ar-SA"/>
        </w:rPr>
        <w:t>2022</w:t>
      </w:r>
      <w:r>
        <w:rPr>
          <w:rFonts w:hint="default" w:ascii="Times New Roman" w:hAnsi="Times New Roman" w:eastAsia="仿宋_GB2312" w:cs="Times New Roman"/>
          <w:color w:val="auto"/>
          <w:kern w:val="2"/>
          <w:sz w:val="32"/>
          <w:szCs w:val="32"/>
          <w:lang w:val="zh-CN" w:eastAsia="zh-CN" w:bidi="ar-SA"/>
        </w:rPr>
        <w:t>年增加</w:t>
      </w:r>
      <w:r>
        <w:rPr>
          <w:rFonts w:hint="default" w:ascii="Times New Roman" w:hAnsi="Times New Roman" w:eastAsia="仿宋_GB2312" w:cs="Times New Roman"/>
          <w:kern w:val="2"/>
          <w:sz w:val="32"/>
          <w:szCs w:val="32"/>
          <w:lang w:val="en-US" w:eastAsia="zh-CN"/>
        </w:rPr>
        <w:t>312.63</w:t>
      </w:r>
      <w:r>
        <w:rPr>
          <w:rFonts w:hint="default" w:ascii="Times New Roman" w:hAnsi="Times New Roman" w:eastAsia="仿宋_GB2312" w:cs="Times New Roman"/>
          <w:kern w:val="2"/>
          <w:sz w:val="32"/>
          <w:szCs w:val="32"/>
          <w:lang w:eastAsia="zh-CN"/>
        </w:rPr>
        <w:t>万元，增长</w:t>
      </w:r>
      <w:r>
        <w:rPr>
          <w:rFonts w:hint="default" w:ascii="Times New Roman" w:hAnsi="Times New Roman" w:eastAsia="仿宋_GB2312" w:cs="Times New Roman"/>
          <w:kern w:val="2"/>
          <w:sz w:val="32"/>
          <w:szCs w:val="32"/>
          <w:lang w:val="en-US" w:eastAsia="zh-CN"/>
        </w:rPr>
        <w:t>3.85</w:t>
      </w:r>
      <w:r>
        <w:rPr>
          <w:rFonts w:hint="default" w:ascii="Times New Roman" w:hAnsi="Times New Roman" w:eastAsia="仿宋_GB2312" w:cs="Times New Roman"/>
          <w:kern w:val="2"/>
          <w:sz w:val="32"/>
          <w:szCs w:val="32"/>
          <w:lang w:eastAsia="zh-CN"/>
        </w:rPr>
        <w:t>%，主要是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kern w:val="2"/>
          <w:sz w:val="32"/>
          <w:szCs w:val="32"/>
          <w:lang w:val="zh-CN"/>
        </w:rPr>
        <w:t>；本年支出 8,318.55</w:t>
      </w:r>
      <w:r>
        <w:rPr>
          <w:rFonts w:hint="default" w:ascii="Times New Roman" w:hAnsi="Times New Roman" w:eastAsia="仿宋_GB2312" w:cs="Times New Roman"/>
          <w:kern w:val="2"/>
          <w:sz w:val="32"/>
          <w:szCs w:val="32"/>
          <w:lang w:val="en-US" w:eastAsia="zh-CN"/>
        </w:rPr>
        <w:t>万</w:t>
      </w:r>
      <w:r>
        <w:rPr>
          <w:rFonts w:hint="default" w:ascii="Times New Roman" w:hAnsi="Times New Roman" w:eastAsia="仿宋_GB2312" w:cs="Times New Roman"/>
          <w:kern w:val="2"/>
          <w:sz w:val="32"/>
          <w:szCs w:val="32"/>
          <w:lang w:val="zh-CN"/>
        </w:rPr>
        <w:t>元，</w:t>
      </w:r>
      <w:r>
        <w:rPr>
          <w:rFonts w:hint="default" w:ascii="Times New Roman" w:hAnsi="Times New Roman" w:eastAsia="仿宋_GB2312" w:cs="Times New Roman"/>
          <w:color w:val="auto"/>
          <w:kern w:val="2"/>
          <w:sz w:val="32"/>
          <w:szCs w:val="32"/>
          <w:lang w:val="zh-CN" w:eastAsia="zh-CN" w:bidi="ar-SA"/>
        </w:rPr>
        <w:t>比</w:t>
      </w:r>
      <w:r>
        <w:rPr>
          <w:rFonts w:hint="default" w:ascii="Times New Roman" w:hAnsi="Times New Roman" w:eastAsia="仿宋_GB2312" w:cs="Times New Roman"/>
          <w:color w:val="auto"/>
          <w:kern w:val="2"/>
          <w:sz w:val="32"/>
          <w:szCs w:val="32"/>
          <w:lang w:val="en-US" w:eastAsia="zh-CN" w:bidi="ar-SA"/>
        </w:rPr>
        <w:t>2022</w:t>
      </w:r>
      <w:r>
        <w:rPr>
          <w:rFonts w:hint="default" w:ascii="Times New Roman" w:hAnsi="Times New Roman" w:eastAsia="仿宋_GB2312" w:cs="Times New Roman"/>
          <w:color w:val="auto"/>
          <w:kern w:val="2"/>
          <w:sz w:val="32"/>
          <w:szCs w:val="32"/>
          <w:lang w:val="zh-CN" w:eastAsia="zh-CN" w:bidi="ar-SA"/>
        </w:rPr>
        <w:t>年增加</w:t>
      </w:r>
      <w:r>
        <w:rPr>
          <w:rFonts w:hint="default" w:ascii="Times New Roman" w:hAnsi="Times New Roman" w:eastAsia="仿宋_GB2312" w:cs="Times New Roman"/>
          <w:color w:val="auto"/>
          <w:kern w:val="2"/>
          <w:sz w:val="32"/>
          <w:szCs w:val="32"/>
          <w:lang w:val="en-US" w:eastAsia="zh-CN" w:bidi="ar-SA"/>
        </w:rPr>
        <w:t>199.49</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2.46</w:t>
      </w:r>
      <w:r>
        <w:rPr>
          <w:rFonts w:hint="default" w:ascii="Times New Roman" w:hAnsi="Times New Roman" w:eastAsia="仿宋_GB2312" w:cs="Times New Roman"/>
          <w:color w:val="auto"/>
          <w:kern w:val="2"/>
          <w:sz w:val="32"/>
          <w:szCs w:val="32"/>
          <w:lang w:val="zh-CN" w:eastAsia="zh-CN" w:bidi="ar-SA"/>
        </w:rPr>
        <w:t>%，</w:t>
      </w:r>
      <w:r>
        <w:rPr>
          <w:rFonts w:hint="default" w:ascii="Times New Roman" w:hAnsi="Times New Roman" w:eastAsia="仿宋_GB2312" w:cs="Times New Roman"/>
          <w:kern w:val="2"/>
          <w:sz w:val="32"/>
          <w:szCs w:val="32"/>
          <w:lang w:eastAsia="zh-CN"/>
        </w:rPr>
        <w:t>主要是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kern w:val="2"/>
          <w:sz w:val="32"/>
          <w:szCs w:val="32"/>
          <w:lang w:val="zh-CN"/>
        </w:rPr>
        <w:t>。</w:t>
      </w:r>
    </w:p>
    <w:p>
      <w:pPr>
        <w:numPr>
          <w:ilvl w:val="0"/>
          <w:numId w:val="0"/>
        </w:num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 xml:space="preserve">2.政府性基金预算财政拨款本年收入0.00万元，比上年持平0.00 万元，持平0.00%，主要原因是本单位本年度没有政性 基金预算财政拨款收入；本年支出0.00万元，比上年持平0.00万元，持平0.00%，主要是本单位本年度没有政府性基金预算财政拨款支出。 </w:t>
      </w:r>
    </w:p>
    <w:p>
      <w:pPr>
        <w:numPr>
          <w:ilvl w:val="0"/>
          <w:numId w:val="0"/>
        </w:num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仿宋_GB2312" w:cs="Times New Roman"/>
          <w:color w:val="auto"/>
          <w:kern w:val="2"/>
          <w:sz w:val="32"/>
          <w:szCs w:val="32"/>
          <w:lang w:val="zh-CN" w:eastAsia="zh-CN" w:bidi="ar-SA"/>
        </w:rPr>
        <w:t>3.国有资本经营预算财政拨款本年收入0.00万元，比上年持平0.00万元，持平0.00%，主要原因是本单位本年度没有国有资本经营预算财政拨款收入；本年支出0.00万元，比上年持平0.00万元，持平0.00%，主要是本单位本年度没有国有资本经营预算财政拨款支出。</w:t>
      </w:r>
    </w:p>
    <w:p>
      <w:pPr>
        <w:snapToGrid w:val="0"/>
        <w:spacing w:line="580" w:lineRule="exact"/>
        <w:ind w:firstLine="643" w:firstLineChars="200"/>
        <w:rPr>
          <w:rFonts w:hint="default" w:ascii="Times New Roman" w:hAnsi="Times New Roman" w:eastAsia="楷体_GB2312" w:cs="Times New Roman"/>
          <w:b/>
          <w:bCs/>
          <w:kern w:val="2"/>
          <w:sz w:val="32"/>
          <w:szCs w:val="32"/>
        </w:rPr>
      </w:pPr>
      <w:r>
        <w:rPr>
          <w:rFonts w:hint="default" w:ascii="Times New Roman" w:hAnsi="Times New Roman" w:eastAsia="楷体_GB2312" w:cs="Times New Roman"/>
          <w:b/>
          <w:bCs/>
          <w:kern w:val="2"/>
          <w:sz w:val="32"/>
          <w:szCs w:val="32"/>
        </w:rPr>
        <w:t>（二）财政拨款收支与年初预算数对比情况</w:t>
      </w:r>
    </w:p>
    <w:p>
      <w:p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年度财政拨款本年收入8,401.64万元，完成年初预算的96.94%，比年初预算减少</w:t>
      </w:r>
      <w:r>
        <w:rPr>
          <w:rFonts w:hint="default" w:ascii="Times New Roman" w:hAnsi="Times New Roman" w:eastAsia="仿宋_GB2312" w:cs="Times New Roman"/>
          <w:color w:val="auto"/>
          <w:kern w:val="2"/>
          <w:sz w:val="32"/>
          <w:szCs w:val="32"/>
          <w:lang w:val="en-US" w:eastAsia="zh-CN" w:bidi="ar-SA"/>
        </w:rPr>
        <w:t>265.21</w:t>
      </w:r>
      <w:r>
        <w:rPr>
          <w:rFonts w:hint="default" w:ascii="Times New Roman" w:hAnsi="Times New Roman" w:eastAsia="仿宋_GB2312" w:cs="Times New Roman"/>
          <w:color w:val="auto"/>
          <w:kern w:val="2"/>
          <w:sz w:val="32"/>
          <w:szCs w:val="32"/>
          <w:lang w:val="zh-CN" w:eastAsia="zh-CN" w:bidi="ar-SA"/>
        </w:rPr>
        <w:t>万元，决算数小于预算数主要原因是预算支出有缩减；本年支出8,318.55万元，完成年初预算的95.98%，比年初预算减少</w:t>
      </w:r>
      <w:r>
        <w:rPr>
          <w:rFonts w:hint="default" w:ascii="Times New Roman" w:hAnsi="Times New Roman" w:eastAsia="仿宋_GB2312" w:cs="Times New Roman"/>
          <w:color w:val="auto"/>
          <w:kern w:val="2"/>
          <w:sz w:val="32"/>
          <w:szCs w:val="32"/>
          <w:lang w:val="en-US" w:eastAsia="zh-CN" w:bidi="ar-SA"/>
        </w:rPr>
        <w:t>348.41</w:t>
      </w:r>
      <w:r>
        <w:rPr>
          <w:rFonts w:hint="default" w:ascii="Times New Roman" w:hAnsi="Times New Roman" w:eastAsia="仿宋_GB2312" w:cs="Times New Roman"/>
          <w:color w:val="auto"/>
          <w:kern w:val="2"/>
          <w:sz w:val="32"/>
          <w:szCs w:val="32"/>
          <w:lang w:val="zh-CN" w:eastAsia="zh-CN" w:bidi="ar-SA"/>
        </w:rPr>
        <w:t>万元，决算数小于</w:t>
      </w:r>
      <w:r>
        <w:rPr>
          <w:rFonts w:hint="default" w:ascii="Times New Roman" w:hAnsi="Times New Roman" w:eastAsia="仿宋_GB2312" w:cs="Times New Roman"/>
          <w:kern w:val="2"/>
          <w:sz w:val="32"/>
          <w:szCs w:val="32"/>
          <w:lang w:val="zh-CN"/>
        </w:rPr>
        <w:t>预算数主要原因是</w:t>
      </w:r>
      <w:r>
        <w:rPr>
          <w:rFonts w:hint="default" w:ascii="Times New Roman" w:hAnsi="Times New Roman" w:eastAsia="仿宋_GB2312" w:cs="Times New Roman"/>
          <w:color w:val="auto"/>
          <w:kern w:val="2"/>
          <w:sz w:val="32"/>
          <w:szCs w:val="32"/>
          <w:lang w:val="zh-CN" w:eastAsia="zh-CN" w:bidi="ar-SA"/>
        </w:rPr>
        <w:t>预算支出有缩减</w:t>
      </w:r>
      <w:r>
        <w:rPr>
          <w:rFonts w:hint="default" w:ascii="Times New Roman" w:hAnsi="Times New Roman" w:eastAsia="仿宋_GB2312" w:cs="Times New Roman"/>
          <w:kern w:val="2"/>
          <w:sz w:val="32"/>
          <w:szCs w:val="32"/>
          <w:lang w:val="zh-CN"/>
        </w:rPr>
        <w:t>。具体情况如下：</w:t>
      </w:r>
    </w:p>
    <w:p>
      <w:p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kern w:val="2"/>
          <w:sz w:val="32"/>
          <w:szCs w:val="32"/>
          <w:lang w:val="en-US" w:eastAsia="zh-CN"/>
        </w:rPr>
        <w:t>1.</w:t>
      </w:r>
      <w:r>
        <w:rPr>
          <w:rFonts w:hint="default" w:ascii="Times New Roman" w:hAnsi="Times New Roman" w:eastAsia="仿宋_GB2312" w:cs="Times New Roman"/>
          <w:kern w:val="2"/>
          <w:sz w:val="32"/>
          <w:szCs w:val="32"/>
          <w:lang w:val="zh-CN"/>
        </w:rPr>
        <w:t>一般公共预算财政拨款</w:t>
      </w:r>
      <w:r>
        <w:rPr>
          <w:rFonts w:hint="default" w:ascii="Times New Roman" w:hAnsi="Times New Roman" w:eastAsia="仿宋_GB2312" w:cs="Times New Roman"/>
          <w:kern w:val="2"/>
          <w:sz w:val="32"/>
          <w:szCs w:val="32"/>
          <w:lang w:val="en-US" w:eastAsia="zh-CN"/>
        </w:rPr>
        <w:t>本年</w:t>
      </w:r>
      <w:r>
        <w:rPr>
          <w:rFonts w:hint="default" w:ascii="Times New Roman" w:hAnsi="Times New Roman" w:eastAsia="仿宋_GB2312" w:cs="Times New Roman"/>
          <w:kern w:val="2"/>
          <w:sz w:val="32"/>
          <w:szCs w:val="32"/>
          <w:lang w:val="zh-CN"/>
        </w:rPr>
        <w:t>收入8,401.64万元，完成年初预算的 96.94%，</w:t>
      </w:r>
      <w:r>
        <w:rPr>
          <w:rFonts w:hint="default" w:ascii="Times New Roman" w:hAnsi="Times New Roman" w:eastAsia="仿宋_GB2312" w:cs="Times New Roman"/>
          <w:color w:val="auto"/>
          <w:kern w:val="2"/>
          <w:sz w:val="32"/>
          <w:szCs w:val="32"/>
          <w:lang w:val="zh-CN" w:eastAsia="zh-CN" w:bidi="ar-SA"/>
        </w:rPr>
        <w:t>比年初预算减少</w:t>
      </w:r>
      <w:r>
        <w:rPr>
          <w:rFonts w:hint="default" w:ascii="Times New Roman" w:hAnsi="Times New Roman" w:eastAsia="仿宋_GB2312" w:cs="Times New Roman"/>
          <w:color w:val="auto"/>
          <w:kern w:val="2"/>
          <w:sz w:val="32"/>
          <w:szCs w:val="32"/>
          <w:lang w:val="en-US" w:eastAsia="zh-CN" w:bidi="ar-SA"/>
        </w:rPr>
        <w:t>265.21</w:t>
      </w:r>
      <w:r>
        <w:rPr>
          <w:rFonts w:hint="default" w:ascii="Times New Roman" w:hAnsi="Times New Roman" w:eastAsia="仿宋_GB2312" w:cs="Times New Roman"/>
          <w:color w:val="auto"/>
          <w:kern w:val="2"/>
          <w:sz w:val="32"/>
          <w:szCs w:val="32"/>
          <w:lang w:val="zh-CN" w:eastAsia="zh-CN" w:bidi="ar-SA"/>
        </w:rPr>
        <w:t>万元，决算数小于预算数主要原因是预算支出有缩减；本年支出8,318.55万元，完成年初预算的95.98%，比年初预算减少</w:t>
      </w:r>
      <w:r>
        <w:rPr>
          <w:rFonts w:hint="default" w:ascii="Times New Roman" w:hAnsi="Times New Roman" w:eastAsia="仿宋_GB2312" w:cs="Times New Roman"/>
          <w:color w:val="auto"/>
          <w:kern w:val="2"/>
          <w:sz w:val="32"/>
          <w:szCs w:val="32"/>
          <w:lang w:val="en-US" w:eastAsia="zh-CN" w:bidi="ar-SA"/>
        </w:rPr>
        <w:t>348.41</w:t>
      </w:r>
      <w:r>
        <w:rPr>
          <w:rFonts w:hint="default" w:ascii="Times New Roman" w:hAnsi="Times New Roman" w:eastAsia="仿宋_GB2312" w:cs="Times New Roman"/>
          <w:color w:val="auto"/>
          <w:kern w:val="2"/>
          <w:sz w:val="32"/>
          <w:szCs w:val="32"/>
          <w:lang w:val="zh-CN" w:eastAsia="zh-CN" w:bidi="ar-SA"/>
        </w:rPr>
        <w:t>万元，决算数小于</w:t>
      </w:r>
      <w:r>
        <w:rPr>
          <w:rFonts w:hint="default" w:ascii="Times New Roman" w:hAnsi="Times New Roman" w:eastAsia="仿宋_GB2312" w:cs="Times New Roman"/>
          <w:kern w:val="2"/>
          <w:sz w:val="32"/>
          <w:szCs w:val="32"/>
          <w:lang w:val="zh-CN"/>
        </w:rPr>
        <w:t>预算数主要原因是</w:t>
      </w:r>
      <w:r>
        <w:rPr>
          <w:rFonts w:hint="default" w:ascii="Times New Roman" w:hAnsi="Times New Roman" w:eastAsia="仿宋_GB2312" w:cs="Times New Roman"/>
          <w:color w:val="auto"/>
          <w:kern w:val="2"/>
          <w:sz w:val="32"/>
          <w:szCs w:val="32"/>
          <w:lang w:val="zh-CN" w:eastAsia="zh-CN" w:bidi="ar-SA"/>
        </w:rPr>
        <w:t>预算支出有缩减。</w:t>
      </w:r>
    </w:p>
    <w:p>
      <w:p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仿宋_GB2312" w:cs="Times New Roman"/>
          <w:color w:val="auto"/>
          <w:kern w:val="2"/>
          <w:sz w:val="32"/>
          <w:szCs w:val="32"/>
          <w:lang w:val="zh-CN" w:eastAsia="zh-CN" w:bidi="ar-SA"/>
        </w:rPr>
        <w:t xml:space="preserve">2.政府性基金预算财政拨款本年收入完成年初预算100%，与年初预算持平，主要是单位本年度没有政性基金预算财政拨款收入；支出完成年初预算100%，与年初预算持平，主要是单位本年度没有政性基金预算财政拨款支出。 </w:t>
      </w:r>
      <w:r>
        <w:rPr>
          <w:rFonts w:hint="default" w:ascii="Times New Roman" w:hAnsi="Times New Roman" w:eastAsia="仿宋_GB2312" w:cs="Times New Roman"/>
          <w:color w:val="auto"/>
          <w:kern w:val="2"/>
          <w:sz w:val="32"/>
          <w:szCs w:val="32"/>
          <w:lang w:val="en-US" w:eastAsia="zh-CN" w:bidi="ar-SA"/>
        </w:rPr>
        <w:t xml:space="preserve">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left"/>
        <w:rPr>
          <w:rFonts w:hint="default" w:ascii="Times New Roman" w:hAnsi="Times New Roman" w:eastAsia="仿宋_GB2312" w:cs="Times New Roman"/>
          <w:color w:val="auto"/>
          <w:kern w:val="0"/>
          <w:sz w:val="32"/>
          <w:szCs w:val="32"/>
          <w:highlight w:val="yellow"/>
          <w:lang w:val="en-US" w:eastAsia="zh-CN" w:bidi="ar-SA"/>
        </w:rPr>
      </w:pPr>
      <w:r>
        <w:rPr>
          <w:rFonts w:hint="default" w:ascii="Times New Roman" w:hAnsi="Times New Roman" w:eastAsia="仿宋_GB2312" w:cs="Times New Roman"/>
          <w:color w:val="auto"/>
          <w:kern w:val="2"/>
          <w:sz w:val="32"/>
          <w:szCs w:val="32"/>
          <w:lang w:val="zh-CN" w:eastAsia="zh-CN" w:bidi="ar-SA"/>
        </w:rPr>
        <w:t>3.国有资本经营预算财政拨款本年收入完成年初预算 100%，与年初预算持平，主要是本单位本年度没有国有资本经营预算财政拨款收入；支出完成年初预算100%，与年初预算持平，主要是本单位本年度没有国有资本经营预算财政拨款支出。</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both"/>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（三）财政拨款支出决算结构情况</w:t>
      </w:r>
    </w:p>
    <w:p>
      <w:pPr>
        <w:keepNext w:val="0"/>
        <w:keepLines w:val="0"/>
        <w:pageBreakBefore w:val="0"/>
        <w:kinsoku/>
        <w:wordWrap/>
        <w:overflowPunct/>
        <w:topLinePunct w:val="0"/>
        <w:autoSpaceDE/>
        <w:autoSpaceDN/>
        <w:bidi w:val="0"/>
        <w:adjustRightInd w:val="0"/>
        <w:snapToGrid w:val="0"/>
        <w:spacing w:line="580" w:lineRule="exact"/>
        <w:ind w:firstLine="660"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000000"/>
          <w:spacing w:val="0"/>
          <w:sz w:val="33"/>
          <w:szCs w:val="33"/>
          <w:highlight w:val="none"/>
          <w:shd w:val="clear" w:fill="FFFFFF"/>
        </w:rPr>
        <w:t> </w:t>
      </w:r>
      <w:r>
        <w:rPr>
          <w:rFonts w:hint="default" w:ascii="Times New Roman" w:hAnsi="Times New Roman" w:eastAsia="仿宋_GB2312" w:cs="Times New Roman"/>
          <w:kern w:val="2"/>
          <w:sz w:val="32"/>
          <w:szCs w:val="32"/>
          <w:lang w:val="zh-CN"/>
        </w:rPr>
        <w:t> 202</w:t>
      </w:r>
      <w:r>
        <w:rPr>
          <w:rFonts w:hint="default" w:ascii="Times New Roman" w:hAnsi="Times New Roman" w:eastAsia="仿宋_GB2312" w:cs="Times New Roman"/>
          <w:kern w:val="2"/>
          <w:sz w:val="32"/>
          <w:szCs w:val="32"/>
          <w:lang w:val="en-US" w:eastAsia="zh-CN"/>
        </w:rPr>
        <w:t>3</w:t>
      </w:r>
      <w:r>
        <w:rPr>
          <w:rFonts w:hint="default" w:ascii="Times New Roman" w:hAnsi="Times New Roman" w:eastAsia="仿宋_GB2312" w:cs="Times New Roman"/>
          <w:kern w:val="2"/>
          <w:sz w:val="32"/>
          <w:szCs w:val="32"/>
          <w:lang w:val="zh-CN"/>
        </w:rPr>
        <w:t>年度财政拨款支出8,318.55万元，主要用于以下方面：</w:t>
      </w:r>
      <w:r>
        <w:rPr>
          <w:rFonts w:hint="default" w:ascii="Times New Roman" w:hAnsi="Times New Roman" w:eastAsia="仿宋_GB2312" w:cs="Times New Roman"/>
          <w:color w:val="auto"/>
          <w:kern w:val="2"/>
          <w:sz w:val="32"/>
          <w:szCs w:val="32"/>
          <w:lang w:val="zh-CN" w:eastAsia="zh-CN" w:bidi="ar-SA"/>
        </w:rPr>
        <w:t>一般公共服务（类）支出7,026.64万元，占84.47%；社会保障和就业 （类）支出726.68万元，占8.74%；卫生健康（类）支出150.97万元，占1.81%；住房保障（类）支出414.26万元，占4.98%。</w:t>
      </w:r>
    </w:p>
    <w:p>
      <w:pPr>
        <w:pStyle w:val="11"/>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0" w:afterAutospacing="0"/>
        <w:ind w:right="0" w:rightChars="0" w:firstLine="643" w:firstLineChars="200"/>
        <w:jc w:val="both"/>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（四）一般公共预算基本支出决算情况说明</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年度财政拨款基本支出6,392.08万元，其中：</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color w:val="auto"/>
          <w:kern w:val="2"/>
          <w:sz w:val="32"/>
          <w:szCs w:val="32"/>
          <w:lang w:val="zh-CN" w:eastAsia="zh-CN" w:bidi="ar-SA"/>
        </w:rPr>
        <w:t>人员经费5,672.97万元，主要包括基本工资、津贴补贴、奖金、绩效工资、机关事业部门基本养老保险缴费、职工基本医疗保险缴费、住房公积金、其他社会保障缴费、其他工资福利支出、退休费、抚恤金、医疗费补助、奖励金、其他对</w:t>
      </w:r>
      <w:r>
        <w:rPr>
          <w:rFonts w:hint="default" w:ascii="Times New Roman" w:hAnsi="Times New Roman" w:eastAsia="仿宋_GB2312" w:cs="Times New Roman"/>
          <w:i w:val="0"/>
          <w:iCs w:val="0"/>
          <w:caps w:val="0"/>
          <w:color w:val="333333"/>
          <w:spacing w:val="0"/>
          <w:sz w:val="33"/>
          <w:szCs w:val="33"/>
          <w:highlight w:val="none"/>
          <w:shd w:val="clear" w:fill="FFFFFF"/>
        </w:rPr>
        <w:t>个人和家庭</w:t>
      </w:r>
      <w:r>
        <w:rPr>
          <w:rFonts w:hint="default" w:ascii="Times New Roman" w:hAnsi="Times New Roman" w:eastAsia="仿宋_GB2312" w:cs="Times New Roman"/>
          <w:color w:val="auto"/>
          <w:kern w:val="2"/>
          <w:sz w:val="32"/>
          <w:szCs w:val="32"/>
          <w:lang w:val="zh-CN" w:eastAsia="zh-CN" w:bidi="ar-SA"/>
        </w:rPr>
        <w:t>的补助支出。</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0"/>
          <w:sz w:val="32"/>
          <w:szCs w:val="32"/>
          <w:highlight w:val="yellow"/>
          <w:lang w:val="en-US"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color w:val="auto"/>
          <w:kern w:val="2"/>
          <w:sz w:val="32"/>
          <w:szCs w:val="32"/>
          <w:lang w:val="zh-CN" w:eastAsia="zh-CN" w:bidi="ar-SA"/>
        </w:rPr>
        <w:t>公用经费719.11万元，主要包括办公费、印刷费、邮电费、物业管理费、差旅费、维修（护）费、租赁费、会议费、培训费、公务接待费、工会经费、福利费、公务用车运行维护费、其他交通费用、其他商品和服务支出。</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五、财政拨款“三公” 经费支出决算情况说明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both"/>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（一）“三公”经费财政拨款支出决算总体情况说明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en-US" w:eastAsia="zh-CN" w:bidi="ar-SA"/>
        </w:rPr>
        <w:t xml:space="preserve"> </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年度“三公”经费财政拨款支出预算为91.5万元，支出决算为 71.32万元，完成预算的 77.95%，较预算减少</w:t>
      </w:r>
      <w:r>
        <w:rPr>
          <w:rFonts w:hint="default" w:ascii="Times New Roman" w:hAnsi="Times New Roman" w:eastAsia="仿宋_GB2312" w:cs="Times New Roman"/>
          <w:color w:val="auto"/>
          <w:kern w:val="2"/>
          <w:sz w:val="32"/>
          <w:szCs w:val="32"/>
          <w:lang w:val="en-US" w:eastAsia="zh-CN" w:bidi="ar-SA"/>
        </w:rPr>
        <w:t>20.18</w:t>
      </w:r>
      <w:r>
        <w:rPr>
          <w:rFonts w:hint="default" w:ascii="Times New Roman" w:hAnsi="Times New Roman" w:eastAsia="仿宋_GB2312" w:cs="Times New Roman"/>
          <w:color w:val="auto"/>
          <w:kern w:val="2"/>
          <w:sz w:val="32"/>
          <w:szCs w:val="32"/>
          <w:lang w:val="zh-CN" w:eastAsia="zh-CN" w:bidi="ar-SA"/>
        </w:rPr>
        <w:t>万元，下降</w:t>
      </w:r>
      <w:r>
        <w:rPr>
          <w:rFonts w:hint="default" w:ascii="Times New Roman" w:hAnsi="Times New Roman" w:eastAsia="仿宋_GB2312" w:cs="Times New Roman"/>
          <w:color w:val="auto"/>
          <w:kern w:val="2"/>
          <w:sz w:val="32"/>
          <w:szCs w:val="32"/>
          <w:lang w:val="en-US" w:eastAsia="zh-CN" w:bidi="ar-SA"/>
        </w:rPr>
        <w:t>22.05</w:t>
      </w:r>
      <w:r>
        <w:rPr>
          <w:rFonts w:hint="default" w:ascii="Times New Roman" w:hAnsi="Times New Roman" w:eastAsia="仿宋_GB2312" w:cs="Times New Roman"/>
          <w:color w:val="auto"/>
          <w:kern w:val="2"/>
          <w:sz w:val="32"/>
          <w:szCs w:val="32"/>
          <w:lang w:val="zh-CN" w:eastAsia="zh-CN" w:bidi="ar-SA"/>
        </w:rPr>
        <w:t>%；较2022年度决算增加</w:t>
      </w:r>
      <w:r>
        <w:rPr>
          <w:rFonts w:hint="default" w:ascii="Times New Roman" w:hAnsi="Times New Roman" w:eastAsia="仿宋_GB2312" w:cs="Times New Roman"/>
          <w:color w:val="auto"/>
          <w:kern w:val="2"/>
          <w:sz w:val="32"/>
          <w:szCs w:val="32"/>
          <w:lang w:val="en-US" w:eastAsia="zh-CN" w:bidi="ar-SA"/>
        </w:rPr>
        <w:t>47.1</w:t>
      </w:r>
      <w:r>
        <w:rPr>
          <w:rFonts w:hint="default" w:ascii="Times New Roman" w:hAnsi="Times New Roman" w:eastAsia="仿宋_GB2312" w:cs="Times New Roman"/>
          <w:color w:val="auto"/>
          <w:kern w:val="2"/>
          <w:sz w:val="32"/>
          <w:szCs w:val="32"/>
          <w:lang w:val="zh-CN" w:eastAsia="zh-CN" w:bidi="ar-SA"/>
        </w:rPr>
        <w:t>万元，增长（降低）</w:t>
      </w:r>
      <w:r>
        <w:rPr>
          <w:rFonts w:hint="default" w:ascii="Times New Roman" w:hAnsi="Times New Roman" w:eastAsia="仿宋_GB2312" w:cs="Times New Roman"/>
          <w:color w:val="auto"/>
          <w:kern w:val="2"/>
          <w:sz w:val="32"/>
          <w:szCs w:val="32"/>
          <w:lang w:val="en-US" w:eastAsia="zh-CN" w:bidi="ar-SA"/>
        </w:rPr>
        <w:t>194.47</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kern w:val="2"/>
          <w:sz w:val="32"/>
          <w:szCs w:val="32"/>
          <w:lang w:val="en-US" w:eastAsia="zh-CN"/>
        </w:rPr>
        <w:t>2023年外出办案、线下培训及会议增加</w:t>
      </w:r>
      <w:r>
        <w:rPr>
          <w:rFonts w:hint="default" w:ascii="Times New Roman" w:hAnsi="Times New Roman" w:eastAsia="仿宋_GB2312" w:cs="Times New Roman"/>
          <w:color w:val="auto"/>
          <w:kern w:val="2"/>
          <w:sz w:val="32"/>
          <w:szCs w:val="32"/>
          <w:lang w:val="zh-CN" w:eastAsia="zh-CN" w:bidi="ar-SA"/>
        </w:rPr>
        <w:t>。</w:t>
      </w:r>
    </w:p>
    <w:p>
      <w:pPr>
        <w:adjustRightInd w:val="0"/>
        <w:snapToGrid w:val="0"/>
        <w:spacing w:line="580" w:lineRule="exact"/>
        <w:ind w:firstLine="643" w:firstLineChars="200"/>
        <w:rPr>
          <w:rFonts w:hint="default" w:ascii="Times New Roman" w:hAnsi="Times New Roman" w:eastAsia="楷体_GB2312" w:cs="Times New Roman"/>
          <w:b/>
          <w:bCs/>
          <w:kern w:val="2"/>
          <w:sz w:val="32"/>
          <w:szCs w:val="32"/>
        </w:rPr>
      </w:pPr>
      <w:r>
        <w:rPr>
          <w:rFonts w:hint="default" w:ascii="Times New Roman" w:hAnsi="Times New Roman" w:eastAsia="楷体_GB2312" w:cs="Times New Roman"/>
          <w:b/>
          <w:bCs/>
          <w:kern w:val="2"/>
          <w:sz w:val="32"/>
          <w:szCs w:val="32"/>
        </w:rPr>
        <w:t>（二）“三公”经费财政拨款支出决算具体情况说明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1.因公出国（境）费支出情况。</w:t>
      </w:r>
      <w:r>
        <w:rPr>
          <w:rFonts w:hint="default" w:ascii="Times New Roman" w:hAnsi="Times New Roman" w:eastAsia="仿宋_GB2312" w:cs="Times New Roman"/>
          <w:color w:val="auto"/>
          <w:kern w:val="2"/>
          <w:sz w:val="32"/>
          <w:szCs w:val="32"/>
          <w:lang w:val="zh-CN" w:eastAsia="zh-CN" w:bidi="ar-SA"/>
        </w:rPr>
        <w:t>本单位2021年度因公出国 （境）费支出预算为 0 万元，支出决算 0 万元，完成预算的 100%。因公出国（境）费支出较预算增加 0 万元，增长 0.0%,主要是未 发生“因公出国（境）”经费支出；较上年增加 0 万元，增长 0.0%,主要是未发生因公出国（境）费</w:t>
      </w:r>
      <w:r>
        <w:rPr>
          <w:rFonts w:hint="default" w:ascii="Times New Roman" w:hAnsi="Times New Roman" w:eastAsia="仿宋_GB2312" w:cs="Times New Roman"/>
          <w:color w:val="auto"/>
          <w:kern w:val="2"/>
          <w:sz w:val="32"/>
          <w:szCs w:val="32"/>
          <w:lang w:val="en-US" w:eastAsia="zh-CN" w:bidi="ar-SA"/>
        </w:rPr>
        <w:t>。</w:t>
      </w:r>
    </w:p>
    <w:p>
      <w:pPr>
        <w:keepNext w:val="0"/>
        <w:keepLines w:val="0"/>
        <w:pageBreakBefore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Arial" w:cs="Times New Roman"/>
          <w:highlight w:val="none"/>
        </w:rPr>
      </w:pPr>
      <w:r>
        <w:rPr>
          <w:rFonts w:hint="default" w:ascii="Times New Roman" w:hAnsi="Times New Roman" w:eastAsia="楷体_GB2312" w:cs="Times New Roman"/>
          <w:b/>
          <w:bCs/>
          <w:kern w:val="2"/>
          <w:sz w:val="32"/>
          <w:szCs w:val="32"/>
          <w:lang w:val="en-US" w:eastAsia="zh-CN" w:bidi="ar-SA"/>
        </w:rPr>
        <w:t>2.</w:t>
      </w:r>
      <w:r>
        <w:rPr>
          <w:rFonts w:hint="default" w:ascii="Times New Roman" w:hAnsi="Times New Roman" w:eastAsia="楷体_GB2312" w:cs="Times New Roman"/>
          <w:b/>
          <w:bCs/>
          <w:sz w:val="32"/>
          <w:szCs w:val="32"/>
        </w:rPr>
        <w:t>公务用车购置及运行维护费支出情况。</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年度公务用车购置及运行维护费预算为89.13万元，支出决算 69.32万元，完成预算的77.77%，较预算减少</w:t>
      </w:r>
      <w:r>
        <w:rPr>
          <w:rFonts w:hint="default" w:ascii="Times New Roman" w:hAnsi="Times New Roman" w:eastAsia="仿宋_GB2312" w:cs="Times New Roman"/>
          <w:color w:val="auto"/>
          <w:kern w:val="2"/>
          <w:sz w:val="32"/>
          <w:szCs w:val="32"/>
          <w:lang w:val="en-US" w:eastAsia="zh-CN" w:bidi="ar-SA"/>
        </w:rPr>
        <w:t>19.81</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22.23</w:t>
      </w:r>
      <w:r>
        <w:rPr>
          <w:rFonts w:hint="default" w:ascii="Times New Roman" w:hAnsi="Times New Roman" w:eastAsia="仿宋_GB2312" w:cs="Times New Roman"/>
          <w:color w:val="auto"/>
          <w:kern w:val="2"/>
          <w:sz w:val="32"/>
          <w:szCs w:val="32"/>
          <w:lang w:val="zh-CN" w:eastAsia="zh-CN" w:bidi="ar-SA"/>
        </w:rPr>
        <w:t>%；较上年增加</w:t>
      </w:r>
      <w:r>
        <w:rPr>
          <w:rFonts w:hint="default" w:ascii="Times New Roman" w:hAnsi="Times New Roman" w:eastAsia="仿宋_GB2312" w:cs="Times New Roman"/>
          <w:color w:val="auto"/>
          <w:kern w:val="2"/>
          <w:sz w:val="32"/>
          <w:szCs w:val="32"/>
          <w:lang w:val="en-US" w:eastAsia="zh-CN" w:bidi="ar-SA"/>
        </w:rPr>
        <w:t>47.11</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212.11</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kern w:val="2"/>
          <w:sz w:val="32"/>
          <w:szCs w:val="32"/>
          <w:lang w:val="en-US" w:eastAsia="zh-CN"/>
        </w:rPr>
        <w:t>2023年外出办案、线下培训及会议增加，用车总量上升</w:t>
      </w:r>
      <w:r>
        <w:rPr>
          <w:rFonts w:hint="default" w:ascii="Times New Roman" w:hAnsi="Times New Roman" w:eastAsia="仿宋_GB2312" w:cs="Times New Roman"/>
          <w:color w:val="auto"/>
          <w:kern w:val="2"/>
          <w:sz w:val="32"/>
          <w:szCs w:val="32"/>
          <w:lang w:val="zh-CN" w:eastAsia="zh-CN" w:bidi="ar-SA"/>
        </w:rPr>
        <w:t>。其中：</w:t>
      </w:r>
    </w:p>
    <w:p>
      <w:pPr>
        <w:adjustRightInd w:val="0"/>
        <w:snapToGrid w:val="0"/>
        <w:spacing w:line="580" w:lineRule="exact"/>
        <w:ind w:firstLine="643" w:firstLineChars="200"/>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b/>
          <w:sz w:val="32"/>
          <w:szCs w:val="32"/>
        </w:rPr>
        <w:t>公务用车购置费支出</w:t>
      </w:r>
      <w:r>
        <w:rPr>
          <w:rFonts w:hint="default" w:ascii="Times New Roman" w:hAnsi="Times New Roman" w:eastAsia="楷体_GB2312" w:cs="Times New Roman"/>
          <w:b/>
          <w:bCs/>
          <w:sz w:val="32"/>
          <w:szCs w:val="32"/>
          <w:lang w:val="en-US" w:eastAsia="zh-CN"/>
        </w:rPr>
        <w:t>0</w:t>
      </w:r>
      <w:r>
        <w:rPr>
          <w:rFonts w:hint="default" w:ascii="Times New Roman" w:hAnsi="Times New Roman" w:eastAsia="楷体_GB2312" w:cs="Times New Roman"/>
          <w:b/>
          <w:bCs/>
          <w:sz w:val="32"/>
          <w:szCs w:val="32"/>
        </w:rPr>
        <w:t>万元</w:t>
      </w:r>
      <w:r>
        <w:rPr>
          <w:rFonts w:hint="default" w:ascii="Times New Roman" w:hAnsi="Times New Roman" w:eastAsia="仿宋_GB2312" w:cs="Times New Roman"/>
          <w:b/>
          <w:sz w:val="32"/>
          <w:szCs w:val="32"/>
        </w:rPr>
        <w:t>：</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年度公务用车购置量0辆，发生“公务用车购置”经费支出 0万元。公务用车购置费支出较预算持平，无变化；较上年支出持平，无变化。</w:t>
      </w:r>
    </w:p>
    <w:p>
      <w:pPr>
        <w:keepNext w:val="0"/>
        <w:keepLines w:val="0"/>
        <w:pageBreakBefore w:val="0"/>
        <w:widowControl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b/>
          <w:sz w:val="32"/>
          <w:szCs w:val="32"/>
        </w:rPr>
        <w:t>公务用车运行维护费支出</w:t>
      </w:r>
      <w:r>
        <w:rPr>
          <w:rFonts w:hint="eastAsia" w:ascii="Times New Roman" w:hAnsi="Times New Roman" w:eastAsia="仿宋_GB2312" w:cs="Times New Roman"/>
          <w:b/>
          <w:sz w:val="32"/>
          <w:szCs w:val="32"/>
          <w:lang w:val="en-US" w:eastAsia="zh-CN"/>
        </w:rPr>
        <w:t>69.32</w:t>
      </w:r>
      <w:r>
        <w:rPr>
          <w:rFonts w:hint="default" w:ascii="Times New Roman" w:hAnsi="Times New Roman" w:eastAsia="楷体_GB2312" w:cs="Times New Roman"/>
          <w:b/>
          <w:bCs/>
          <w:sz w:val="32"/>
          <w:szCs w:val="32"/>
        </w:rPr>
        <w:t>万元</w:t>
      </w:r>
      <w:r>
        <w:rPr>
          <w:rFonts w:hint="default" w:ascii="Times New Roman" w:hAnsi="Times New Roman" w:eastAsia="仿宋_GB2312" w:cs="Times New Roman"/>
          <w:b/>
          <w:sz w:val="32"/>
          <w:szCs w:val="32"/>
        </w:rPr>
        <w:t>：</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年度单位公务用车保有量30辆，发生运行维护费支出69.32万元。公车运行维护费支出较预算减少</w:t>
      </w:r>
      <w:r>
        <w:rPr>
          <w:rFonts w:hint="default" w:ascii="Times New Roman" w:hAnsi="Times New Roman" w:eastAsia="仿宋_GB2312" w:cs="Times New Roman"/>
          <w:color w:val="auto"/>
          <w:kern w:val="2"/>
          <w:sz w:val="32"/>
          <w:szCs w:val="32"/>
          <w:lang w:val="en-US" w:eastAsia="zh-CN" w:bidi="ar-SA"/>
        </w:rPr>
        <w:t>19.81</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22.23</w:t>
      </w:r>
      <w:r>
        <w:rPr>
          <w:rFonts w:hint="default" w:ascii="Times New Roman" w:hAnsi="Times New Roman" w:eastAsia="仿宋_GB2312" w:cs="Times New Roman"/>
          <w:color w:val="auto"/>
          <w:kern w:val="2"/>
          <w:sz w:val="32"/>
          <w:szCs w:val="32"/>
          <w:lang w:val="zh-CN" w:eastAsia="zh-CN" w:bidi="ar-SA"/>
        </w:rPr>
        <w:t>%；较上年增加</w:t>
      </w:r>
      <w:r>
        <w:rPr>
          <w:rFonts w:hint="default" w:ascii="Times New Roman" w:hAnsi="Times New Roman" w:eastAsia="仿宋_GB2312" w:cs="Times New Roman"/>
          <w:color w:val="auto"/>
          <w:kern w:val="2"/>
          <w:sz w:val="32"/>
          <w:szCs w:val="32"/>
          <w:lang w:val="en-US" w:eastAsia="zh-CN" w:bidi="ar-SA"/>
        </w:rPr>
        <w:t>47.11</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212.11</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kern w:val="2"/>
          <w:sz w:val="32"/>
          <w:szCs w:val="32"/>
          <w:lang w:val="en-US" w:eastAsia="zh-CN"/>
        </w:rPr>
        <w:t>2023年外出办案、线下培训及会议增加，用车总量上升</w:t>
      </w:r>
      <w:r>
        <w:rPr>
          <w:rFonts w:hint="default" w:ascii="Times New Roman" w:hAnsi="Times New Roman" w:eastAsia="仿宋_GB2312" w:cs="Times New Roman"/>
          <w:color w:val="auto"/>
          <w:kern w:val="2"/>
          <w:sz w:val="32"/>
          <w:szCs w:val="32"/>
          <w:lang w:val="zh-CN" w:eastAsia="zh-CN" w:bidi="ar-SA"/>
        </w:rPr>
        <w:t>。</w:t>
      </w:r>
    </w:p>
    <w:p>
      <w:pPr>
        <w:keepNext w:val="0"/>
        <w:keepLines w:val="0"/>
        <w:pageBreakBefore w:val="0"/>
        <w:widowControl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仿宋_GB2312" w:cs="Times New Roman"/>
          <w:b w:val="0"/>
          <w:bCs w:val="0"/>
          <w:color w:val="000000"/>
          <w:sz w:val="31"/>
          <w:szCs w:val="31"/>
          <w:lang w:val="zh-CN" w:eastAsia="zh-CN"/>
        </w:rPr>
      </w:pPr>
      <w:r>
        <w:rPr>
          <w:rFonts w:hint="default" w:ascii="Times New Roman" w:hAnsi="Times New Roman" w:eastAsia="楷体_GB2312" w:cs="Times New Roman"/>
          <w:b/>
          <w:bCs/>
          <w:kern w:val="2"/>
          <w:sz w:val="32"/>
          <w:szCs w:val="32"/>
          <w:lang w:val="en-US" w:eastAsia="zh-CN" w:bidi="ar-SA"/>
        </w:rPr>
        <w:t>3.公务接待费。</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年度公务接待费支出预算为2.37万元，支出决算2万元，完成预算的84.39%。公务接待费支出较预算减少</w:t>
      </w:r>
      <w:r>
        <w:rPr>
          <w:rFonts w:hint="default" w:ascii="Times New Roman" w:hAnsi="Times New Roman" w:eastAsia="仿宋_GB2312" w:cs="Times New Roman"/>
          <w:color w:val="auto"/>
          <w:kern w:val="2"/>
          <w:sz w:val="32"/>
          <w:szCs w:val="32"/>
          <w:lang w:val="en-US" w:eastAsia="zh-CN" w:bidi="ar-SA"/>
        </w:rPr>
        <w:t>0.37</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15.61</w:t>
      </w:r>
      <w:r>
        <w:rPr>
          <w:rFonts w:hint="default" w:ascii="Times New Roman" w:hAnsi="Times New Roman" w:eastAsia="仿宋_GB2312" w:cs="Times New Roman"/>
          <w:color w:val="auto"/>
          <w:kern w:val="2"/>
          <w:sz w:val="32"/>
          <w:szCs w:val="32"/>
          <w:lang w:val="zh-CN" w:eastAsia="zh-CN" w:bidi="ar-SA"/>
        </w:rPr>
        <w:t>%；较上年度持平，无变化，</w:t>
      </w:r>
      <w:r>
        <w:rPr>
          <w:rFonts w:hint="default" w:ascii="Times New Roman" w:hAnsi="Times New Roman" w:eastAsia="仿宋_GB2312" w:cs="Times New Roman"/>
          <w:b w:val="0"/>
          <w:bCs w:val="0"/>
          <w:color w:val="000000"/>
          <w:sz w:val="31"/>
          <w:szCs w:val="31"/>
        </w:rPr>
        <w:t>主要是本单位严格落实“过紧日子、苦日子”的政策，节约接待费支出</w:t>
      </w:r>
      <w:r>
        <w:rPr>
          <w:rFonts w:hint="default" w:ascii="Times New Roman" w:hAnsi="Times New Roman" w:eastAsia="仿宋_GB2312" w:cs="Times New Roman"/>
          <w:b w:val="0"/>
          <w:bCs w:val="0"/>
          <w:color w:val="000000"/>
          <w:sz w:val="31"/>
          <w:szCs w:val="31"/>
          <w:lang w:val="zh-CN" w:eastAsia="zh-CN"/>
        </w:rPr>
        <w:t>。本年度共发生公务接待</w:t>
      </w:r>
      <w:r>
        <w:rPr>
          <w:rFonts w:hint="default" w:ascii="Times New Roman" w:hAnsi="Times New Roman" w:eastAsia="仿宋_GB2312" w:cs="Times New Roman"/>
          <w:b w:val="0"/>
          <w:bCs w:val="0"/>
          <w:color w:val="000000"/>
          <w:sz w:val="31"/>
          <w:szCs w:val="31"/>
          <w:lang w:val="en-US" w:eastAsia="zh-CN"/>
        </w:rPr>
        <w:t>13</w:t>
      </w:r>
      <w:r>
        <w:rPr>
          <w:rFonts w:hint="default" w:ascii="Times New Roman" w:hAnsi="Times New Roman" w:eastAsia="仿宋_GB2312" w:cs="Times New Roman"/>
          <w:b w:val="0"/>
          <w:bCs w:val="0"/>
          <w:color w:val="000000"/>
          <w:sz w:val="31"/>
          <w:szCs w:val="31"/>
          <w:lang w:val="zh-CN" w:eastAsia="zh-CN"/>
        </w:rPr>
        <w:t>批次、</w:t>
      </w:r>
      <w:r>
        <w:rPr>
          <w:rFonts w:hint="default" w:ascii="Times New Roman" w:hAnsi="Times New Roman" w:eastAsia="仿宋_GB2312" w:cs="Times New Roman"/>
          <w:b w:val="0"/>
          <w:bCs w:val="0"/>
          <w:color w:val="000000"/>
          <w:sz w:val="31"/>
          <w:szCs w:val="31"/>
          <w:lang w:val="en-US" w:eastAsia="zh-CN"/>
        </w:rPr>
        <w:t>47</w:t>
      </w:r>
      <w:r>
        <w:rPr>
          <w:rFonts w:hint="default" w:ascii="Times New Roman" w:hAnsi="Times New Roman" w:eastAsia="仿宋_GB2312" w:cs="Times New Roman"/>
          <w:b w:val="0"/>
          <w:bCs w:val="0"/>
          <w:color w:val="000000"/>
          <w:sz w:val="31"/>
          <w:szCs w:val="31"/>
          <w:lang w:val="zh-CN" w:eastAsia="zh-CN"/>
        </w:rPr>
        <w:t>人次。</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60" w:firstLineChars="200"/>
        <w:jc w:val="both"/>
        <w:outlineLvl w:val="1"/>
        <w:rPr>
          <w:rFonts w:hint="default" w:ascii="Times New Roman" w:hAnsi="Times New Roman" w:eastAsia="仿宋_GB2312" w:cs="Times New Roman"/>
          <w:color w:val="auto"/>
          <w:kern w:val="0"/>
          <w:sz w:val="32"/>
          <w:szCs w:val="32"/>
          <w:highlight w:val="yellow"/>
          <w:lang w:val="en-US" w:eastAsia="zh-CN" w:bidi="ar-SA"/>
        </w:rPr>
      </w:pPr>
      <w:r>
        <w:rPr>
          <w:rFonts w:hint="default" w:ascii="Times New Roman" w:hAnsi="Times New Roman" w:eastAsia="黑体" w:cs="Times New Roman"/>
          <w:i w:val="0"/>
          <w:iCs w:val="0"/>
          <w:caps w:val="0"/>
          <w:color w:val="333333"/>
          <w:spacing w:val="0"/>
          <w:sz w:val="33"/>
          <w:szCs w:val="33"/>
          <w:highlight w:val="none"/>
          <w:shd w:val="clear" w:fill="FFFFFF"/>
        </w:rPr>
        <w:t>六、</w:t>
      </w:r>
      <w:r>
        <w:rPr>
          <w:rFonts w:hint="default" w:ascii="Times New Roman" w:hAnsi="Times New Roman" w:eastAsia="黑体" w:cs="Times New Roman"/>
          <w:sz w:val="32"/>
          <w:szCs w:val="32"/>
        </w:rPr>
        <w:t>机关运行经费支出说明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0"/>
          <w:sz w:val="32"/>
          <w:szCs w:val="32"/>
          <w:highlight w:val="yellow"/>
          <w:lang w:val="en-US"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年度机关运行经费支出719.11万元，较2022年度增加</w:t>
      </w:r>
      <w:r>
        <w:rPr>
          <w:rFonts w:hint="default" w:ascii="Times New Roman" w:hAnsi="Times New Roman" w:eastAsia="仿宋_GB2312" w:cs="Times New Roman"/>
          <w:color w:val="auto"/>
          <w:kern w:val="2"/>
          <w:sz w:val="32"/>
          <w:szCs w:val="32"/>
          <w:lang w:val="en-US" w:eastAsia="zh-CN" w:bidi="ar-SA"/>
        </w:rPr>
        <w:t>86.02</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,13.59</w:t>
      </w:r>
      <w:r>
        <w:rPr>
          <w:rFonts w:hint="default" w:ascii="Times New Roman" w:hAnsi="Times New Roman" w:eastAsia="仿宋_GB2312" w:cs="Times New Roman"/>
          <w:color w:val="auto"/>
          <w:kern w:val="2"/>
          <w:sz w:val="32"/>
          <w:szCs w:val="32"/>
          <w:lang w:val="zh-CN" w:eastAsia="zh-CN" w:bidi="ar-SA"/>
        </w:rPr>
        <w:t>%。主要原因是人员增加，公务交通补贴、移动通讯补贴等运行经费增加。</w:t>
      </w:r>
    </w:p>
    <w:p>
      <w:pPr>
        <w:adjustRightInd w:val="0"/>
        <w:snapToGrid w:val="0"/>
        <w:spacing w:line="580" w:lineRule="exact"/>
        <w:ind w:firstLine="660" w:firstLineChars="200"/>
        <w:rPr>
          <w:rFonts w:hint="default" w:ascii="Times New Roman" w:hAnsi="Times New Roman" w:eastAsia="仿宋_GB2312" w:cs="Times New Roman"/>
          <w:sz w:val="32"/>
          <w:szCs w:val="32"/>
          <w:highlight w:val="yellow"/>
        </w:rPr>
      </w:pPr>
      <w:r>
        <w:rPr>
          <w:rFonts w:hint="default" w:ascii="Times New Roman" w:hAnsi="Times New Roman" w:eastAsia="黑体" w:cs="Times New Roman"/>
          <w:i w:val="0"/>
          <w:iCs w:val="0"/>
          <w:caps w:val="0"/>
          <w:color w:val="333333"/>
          <w:spacing w:val="0"/>
          <w:sz w:val="33"/>
          <w:szCs w:val="33"/>
          <w:highlight w:val="none"/>
          <w:shd w:val="clear" w:fill="FFFFFF"/>
        </w:rPr>
        <w:t>七、</w:t>
      </w:r>
      <w:r>
        <w:rPr>
          <w:rFonts w:hint="default" w:ascii="Times New Roman" w:hAnsi="Times New Roman" w:eastAsia="黑体" w:cs="Times New Roman"/>
          <w:sz w:val="32"/>
          <w:szCs w:val="32"/>
        </w:rPr>
        <w:t>政府采购支出说明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sz w:val="32"/>
          <w:szCs w:val="32"/>
          <w:highlight w:val="yellow"/>
        </w:rPr>
      </w:pPr>
      <w:r>
        <w:rPr>
          <w:rFonts w:hint="default" w:ascii="Times New Roman" w:hAnsi="Times New Roman" w:eastAsia="Arial" w:cs="Times New Roman"/>
          <w:i w:val="0"/>
          <w:iCs w:val="0"/>
          <w:caps w:val="0"/>
          <w:color w:val="333333"/>
          <w:spacing w:val="0"/>
          <w:sz w:val="19"/>
          <w:szCs w:val="19"/>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zh-CN" w:eastAsia="zh-CN" w:bidi="ar-SA"/>
        </w:rPr>
        <w:t>本单位202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年度政府采购支出总额0万元，从采购类型来看，政府采购货物支出0万元、政府采购工程支出0万元、政府采购服务支出0万元。授予中小企业</w:t>
      </w:r>
      <w:r>
        <w:rPr>
          <w:rFonts w:hint="default" w:ascii="Times New Roman" w:hAnsi="Times New Roman" w:eastAsia="仿宋_GB2312" w:cs="Times New Roman"/>
          <w:color w:val="auto"/>
          <w:kern w:val="2"/>
          <w:sz w:val="32"/>
          <w:szCs w:val="32"/>
          <w:lang w:val="en-US" w:eastAsia="zh-CN" w:bidi="ar-SA"/>
        </w:rPr>
        <w:t>合同金额</w:t>
      </w:r>
      <w:r>
        <w:rPr>
          <w:rFonts w:hint="default" w:ascii="Times New Roman" w:hAnsi="Times New Roman" w:eastAsia="仿宋_GB2312" w:cs="Times New Roman"/>
          <w:color w:val="auto"/>
          <w:kern w:val="2"/>
          <w:sz w:val="32"/>
          <w:szCs w:val="32"/>
          <w:lang w:val="zh-CN" w:eastAsia="zh-CN" w:bidi="ar-SA"/>
        </w:rPr>
        <w:t>0万元，占政府采购支出总额的0%，其中授予小微企业合同金额0万元，占政府采购支出总额的0%。</w:t>
      </w:r>
    </w:p>
    <w:p>
      <w:pPr>
        <w:snapToGrid w:val="0"/>
        <w:spacing w:line="580" w:lineRule="exact"/>
        <w:ind w:firstLine="660" w:firstLineChars="200"/>
        <w:jc w:val="left"/>
        <w:rPr>
          <w:rFonts w:hint="default" w:ascii="Times New Roman" w:hAnsi="Times New Roman" w:eastAsia="仿宋_GB2312" w:cs="Times New Roman"/>
          <w:sz w:val="32"/>
          <w:szCs w:val="32"/>
          <w:highlight w:val="yellow"/>
        </w:rPr>
      </w:pPr>
      <w:r>
        <w:rPr>
          <w:rFonts w:hint="default" w:ascii="Times New Roman" w:hAnsi="Times New Roman" w:eastAsia="黑体" w:cs="Times New Roman"/>
          <w:i w:val="0"/>
          <w:iCs w:val="0"/>
          <w:caps w:val="0"/>
          <w:color w:val="333333"/>
          <w:spacing w:val="0"/>
          <w:sz w:val="33"/>
          <w:szCs w:val="33"/>
          <w:highlight w:val="none"/>
          <w:shd w:val="clear" w:fill="FFFFFF"/>
        </w:rPr>
        <w:t>八、</w:t>
      </w:r>
      <w:r>
        <w:rPr>
          <w:rFonts w:hint="default" w:ascii="Times New Roman" w:hAnsi="Times New Roman" w:eastAsia="黑体" w:cs="Times New Roman"/>
          <w:sz w:val="32"/>
          <w:szCs w:val="32"/>
        </w:rPr>
        <w:t>国有资产占用情况说明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2"/>
          <w:sz w:val="32"/>
          <w:szCs w:val="32"/>
          <w:highlight w:val="yellow"/>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color w:val="auto"/>
          <w:kern w:val="2"/>
          <w:sz w:val="32"/>
          <w:szCs w:val="32"/>
          <w:lang w:val="en-US" w:eastAsia="zh-CN" w:bidi="ar-SA"/>
        </w:rPr>
        <w:t xml:space="preserve"> </w:t>
      </w:r>
      <w:r>
        <w:rPr>
          <w:rFonts w:hint="default" w:ascii="Times New Roman" w:hAnsi="Times New Roman" w:eastAsia="仿宋_GB2312" w:cs="Times New Roman"/>
          <w:color w:val="auto"/>
          <w:kern w:val="2"/>
          <w:sz w:val="32"/>
          <w:szCs w:val="32"/>
          <w:lang w:val="zh-CN" w:eastAsia="zh-CN" w:bidi="ar-SA"/>
        </w:rPr>
        <w:t>截至202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年12月31日，本</w:t>
      </w:r>
      <w:r>
        <w:rPr>
          <w:rFonts w:hint="default" w:ascii="Times New Roman" w:hAnsi="Times New Roman" w:eastAsia="仿宋_GB2312" w:cs="Times New Roman"/>
          <w:b w:val="0"/>
          <w:bCs w:val="0"/>
          <w:sz w:val="32"/>
          <w:szCs w:val="32"/>
          <w:lang w:eastAsia="zh-CN"/>
        </w:rPr>
        <w:t>单位</w:t>
      </w:r>
      <w:r>
        <w:rPr>
          <w:rFonts w:hint="default" w:ascii="Times New Roman" w:hAnsi="Times New Roman" w:eastAsia="仿宋_GB2312" w:cs="Times New Roman"/>
          <w:color w:val="auto"/>
          <w:kern w:val="2"/>
          <w:sz w:val="32"/>
          <w:szCs w:val="32"/>
          <w:lang w:val="zh-CN" w:eastAsia="zh-CN" w:bidi="ar-SA"/>
        </w:rPr>
        <w:t>共有车辆30辆，与上年持平。其中，副部（省）级及以上领导用车0辆，主要领导干部用车0 辆，机要通信用车3辆，应急保障用车0辆，执法执勤用车21辆，特种专业技术用车0辆，离退休干部用车1辆，其他用车5辆，其他用车是巡察用车。单位价值50万元（含）以上设备（不含车辆）</w:t>
      </w:r>
      <w:r>
        <w:rPr>
          <w:rFonts w:hint="eastAsia" w:ascii="Times New Roman" w:hAnsi="Times New Roman" w:eastAsia="仿宋_GB2312" w:cs="Times New Roman"/>
          <w:color w:val="auto"/>
          <w:kern w:val="2"/>
          <w:sz w:val="32"/>
          <w:szCs w:val="32"/>
          <w:lang w:val="en-US" w:eastAsia="zh-CN" w:bidi="ar-SA"/>
        </w:rPr>
        <w:t>7</w:t>
      </w:r>
      <w:r>
        <w:rPr>
          <w:rFonts w:hint="default" w:ascii="Times New Roman" w:hAnsi="Times New Roman" w:eastAsia="仿宋_GB2312" w:cs="Times New Roman"/>
          <w:color w:val="auto"/>
          <w:kern w:val="2"/>
          <w:sz w:val="32"/>
          <w:szCs w:val="32"/>
          <w:lang w:val="zh-CN" w:eastAsia="zh-CN" w:bidi="ar-SA"/>
        </w:rPr>
        <w:t>套；单位价值100万元（含）以上设备（不含车辆）</w:t>
      </w:r>
      <w:r>
        <w:rPr>
          <w:rFonts w:hint="eastAsia" w:ascii="Times New Roman" w:hAnsi="Times New Roman" w:eastAsia="仿宋_GB2312" w:cs="Times New Roman"/>
          <w:color w:val="auto"/>
          <w:kern w:val="2"/>
          <w:sz w:val="32"/>
          <w:szCs w:val="32"/>
          <w:lang w:val="en-US" w:eastAsia="zh-CN" w:bidi="ar-SA"/>
        </w:rPr>
        <w:t>1</w:t>
      </w:r>
      <w:r>
        <w:rPr>
          <w:rFonts w:hint="default" w:ascii="Times New Roman" w:hAnsi="Times New Roman" w:eastAsia="仿宋_GB2312" w:cs="Times New Roman"/>
          <w:color w:val="auto"/>
          <w:kern w:val="2"/>
          <w:sz w:val="32"/>
          <w:szCs w:val="32"/>
          <w:lang w:val="zh-CN" w:eastAsia="zh-CN" w:bidi="ar-SA"/>
        </w:rPr>
        <w:t>台（套）。</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40"/>
          <w:lang w:val="en-US" w:eastAsia="zh-CN" w:bidi="ar-SA"/>
        </w:rPr>
      </w:pPr>
      <w:r>
        <w:rPr>
          <w:rFonts w:hint="default" w:ascii="Times New Roman" w:hAnsi="Times New Roman" w:eastAsia="黑体" w:cs="Times New Roman"/>
          <w:kern w:val="2"/>
          <w:sz w:val="32"/>
          <w:szCs w:val="40"/>
          <w:lang w:val="en-US" w:eastAsia="zh-CN" w:bidi="ar-SA"/>
        </w:rPr>
        <w:t>九、预算绩效情况说明</w:t>
      </w:r>
    </w:p>
    <w:p>
      <w:p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（一）预算绩效管理工作开展情况</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Arial" w:cs="Times New Roman"/>
          <w:highlight w:val="none"/>
        </w:rPr>
      </w:pPr>
      <w:r>
        <w:rPr>
          <w:rFonts w:hint="default" w:ascii="Times New Roman" w:hAnsi="Times New Roman" w:eastAsia="仿宋_GB2312" w:cs="Times New Roman"/>
          <w:color w:val="auto"/>
          <w:kern w:val="2"/>
          <w:sz w:val="32"/>
          <w:szCs w:val="32"/>
          <w:lang w:val="zh-CN" w:eastAsia="zh-CN" w:bidi="ar-SA"/>
        </w:rPr>
        <w:t>根据预算绩效管理要求，本单位组织对2023年度一般公共预算项目支出全面开展绩效自评，其中，一级项目</w:t>
      </w:r>
      <w:r>
        <w:rPr>
          <w:rFonts w:hint="default" w:ascii="Times New Roman" w:hAnsi="Times New Roman" w:eastAsia="仿宋_GB2312" w:cs="Times New Roman"/>
          <w:color w:val="auto"/>
          <w:kern w:val="2"/>
          <w:sz w:val="32"/>
          <w:szCs w:val="32"/>
          <w:lang w:val="en-US" w:eastAsia="zh-CN" w:bidi="ar-SA"/>
        </w:rPr>
        <w:t>0</w:t>
      </w:r>
      <w:r>
        <w:rPr>
          <w:rFonts w:hint="default" w:ascii="Times New Roman" w:hAnsi="Times New Roman" w:eastAsia="仿宋_GB2312" w:cs="Times New Roman"/>
          <w:color w:val="auto"/>
          <w:kern w:val="2"/>
          <w:sz w:val="32"/>
          <w:szCs w:val="32"/>
          <w:lang w:val="zh-CN" w:eastAsia="zh-CN" w:bidi="ar-SA"/>
        </w:rPr>
        <w:t>个，二级项目</w:t>
      </w:r>
      <w:r>
        <w:rPr>
          <w:rFonts w:hint="default" w:ascii="Times New Roman" w:hAnsi="Times New Roman" w:eastAsia="仿宋_GB2312" w:cs="Times New Roman"/>
          <w:color w:val="auto"/>
          <w:kern w:val="2"/>
          <w:sz w:val="32"/>
          <w:szCs w:val="32"/>
          <w:lang w:val="en-US" w:eastAsia="zh-CN" w:bidi="ar-SA"/>
        </w:rPr>
        <w:t>23</w:t>
      </w:r>
      <w:r>
        <w:rPr>
          <w:rFonts w:hint="default" w:ascii="Times New Roman" w:hAnsi="Times New Roman" w:eastAsia="仿宋_GB2312" w:cs="Times New Roman"/>
          <w:color w:val="auto"/>
          <w:kern w:val="2"/>
          <w:sz w:val="32"/>
          <w:szCs w:val="32"/>
          <w:lang w:val="zh-CN" w:eastAsia="zh-CN" w:bidi="ar-SA"/>
        </w:rPr>
        <w:t>个，共涉及资金</w:t>
      </w:r>
      <w:r>
        <w:rPr>
          <w:rFonts w:hint="default" w:ascii="Times New Roman" w:hAnsi="Times New Roman" w:eastAsia="仿宋_GB2312" w:cs="Times New Roman"/>
          <w:color w:val="auto"/>
          <w:sz w:val="32"/>
          <w:szCs w:val="32"/>
          <w:lang w:val="en-US" w:eastAsia="zh-CN"/>
        </w:rPr>
        <w:t>4379.11</w:t>
      </w:r>
      <w:r>
        <w:rPr>
          <w:rFonts w:hint="default" w:ascii="Times New Roman" w:hAnsi="Times New Roman" w:eastAsia="仿宋_GB2312" w:cs="Times New Roman"/>
          <w:color w:val="auto"/>
          <w:kern w:val="2"/>
          <w:sz w:val="32"/>
          <w:szCs w:val="32"/>
          <w:lang w:val="zh-CN" w:eastAsia="zh-CN" w:bidi="ar-SA"/>
        </w:rPr>
        <w:t>万元，占一般公共预算项目支出总额的</w:t>
      </w:r>
      <w:r>
        <w:rPr>
          <w:rFonts w:hint="default" w:ascii="Times New Roman" w:hAnsi="Times New Roman" w:eastAsia="仿宋_GB2312" w:cs="Times New Roman"/>
          <w:color w:val="auto"/>
          <w:kern w:val="2"/>
          <w:sz w:val="32"/>
          <w:szCs w:val="32"/>
          <w:lang w:val="en-US" w:eastAsia="zh-CN" w:bidi="ar-SA"/>
        </w:rPr>
        <w:t>100</w:t>
      </w:r>
      <w:r>
        <w:rPr>
          <w:rFonts w:hint="default" w:ascii="Times New Roman" w:hAnsi="Times New Roman" w:eastAsia="仿宋_GB2312" w:cs="Times New Roman"/>
          <w:color w:val="auto"/>
          <w:kern w:val="2"/>
          <w:sz w:val="32"/>
          <w:szCs w:val="32"/>
          <w:lang w:val="zh-CN" w:eastAsia="zh-CN" w:bidi="ar-SA"/>
        </w:rPr>
        <w:t>%。</w:t>
      </w:r>
    </w:p>
    <w:p>
      <w:p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（二）</w:t>
      </w:r>
      <w:r>
        <w:rPr>
          <w:rFonts w:hint="default" w:ascii="Times New Roman" w:hAnsi="Times New Roman" w:eastAsia="仿宋_GB2312" w:cs="Times New Roman"/>
          <w:b/>
          <w:bCs/>
          <w:sz w:val="32"/>
          <w:szCs w:val="32"/>
          <w:lang w:eastAsia="zh-CN"/>
        </w:rPr>
        <w:t>单位</w:t>
      </w:r>
      <w:r>
        <w:rPr>
          <w:rFonts w:hint="default" w:ascii="Times New Roman" w:hAnsi="Times New Roman" w:eastAsia="仿宋_GB2312" w:cs="Times New Roman"/>
          <w:b/>
          <w:bCs/>
          <w:sz w:val="32"/>
          <w:szCs w:val="32"/>
        </w:rPr>
        <w:t>决算中项目绩效自评结果</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60"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color w:val="auto"/>
          <w:kern w:val="2"/>
          <w:sz w:val="32"/>
          <w:szCs w:val="32"/>
          <w:lang w:val="zh-CN" w:eastAsia="zh-CN" w:bidi="ar-SA"/>
        </w:rPr>
        <w:t>本单位</w:t>
      </w:r>
      <w:r>
        <w:rPr>
          <w:rFonts w:hint="default" w:ascii="Times New Roman" w:hAnsi="Times New Roman" w:eastAsia="仿宋_GB2312" w:cs="Times New Roman"/>
          <w:b w:val="0"/>
          <w:bCs w:val="0"/>
          <w:color w:val="000000"/>
          <w:sz w:val="31"/>
          <w:szCs w:val="31"/>
        </w:rPr>
        <w:t>在今年部门决算公开中反映电子数据恢复取证系统建设项目绩效自评结果</w:t>
      </w:r>
      <w:r>
        <w:rPr>
          <w:rFonts w:hint="default" w:ascii="Times New Roman" w:hAnsi="Times New Roman" w:eastAsia="仿宋_GB2312" w:cs="Times New Roman"/>
          <w:color w:val="auto"/>
          <w:kern w:val="2"/>
          <w:sz w:val="32"/>
          <w:szCs w:val="32"/>
          <w:lang w:val="zh-CN" w:eastAsia="zh-CN" w:bidi="ar-SA"/>
        </w:rPr>
        <w:t>。</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20" w:firstLineChars="200"/>
        <w:jc w:val="left"/>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b w:val="0"/>
          <w:bCs w:val="0"/>
          <w:color w:val="000000"/>
          <w:sz w:val="31"/>
          <w:szCs w:val="31"/>
        </w:rPr>
        <w:t>电子数据恢复取证系统建设项目</w:t>
      </w:r>
      <w:r>
        <w:rPr>
          <w:rFonts w:hint="default" w:ascii="Times New Roman" w:hAnsi="Times New Roman" w:eastAsia="仿宋_GB2312" w:cs="Times New Roman"/>
          <w:color w:val="auto"/>
          <w:kern w:val="2"/>
          <w:sz w:val="32"/>
          <w:szCs w:val="32"/>
          <w:lang w:val="zh-CN" w:eastAsia="zh-CN" w:bidi="ar-SA"/>
        </w:rPr>
        <w:t>绩效自评情况：根据年初设定的绩效目标，</w:t>
      </w:r>
      <w:r>
        <w:rPr>
          <w:rFonts w:hint="default" w:ascii="Times New Roman" w:hAnsi="Times New Roman" w:eastAsia="仿宋_GB2312" w:cs="Times New Roman"/>
          <w:b w:val="0"/>
          <w:bCs w:val="0"/>
          <w:color w:val="000000"/>
          <w:sz w:val="31"/>
          <w:szCs w:val="31"/>
        </w:rPr>
        <w:t>电子数据恢复取证系统建设项目</w:t>
      </w:r>
      <w:r>
        <w:rPr>
          <w:rFonts w:hint="default" w:ascii="Times New Roman" w:hAnsi="Times New Roman" w:eastAsia="仿宋_GB2312" w:cs="Times New Roman"/>
          <w:color w:val="auto"/>
          <w:kern w:val="2"/>
          <w:sz w:val="32"/>
          <w:szCs w:val="32"/>
          <w:lang w:val="zh-CN" w:eastAsia="zh-CN" w:bidi="ar-SA"/>
        </w:rPr>
        <w:t>绩效自评得分为</w:t>
      </w:r>
      <w:r>
        <w:rPr>
          <w:rFonts w:hint="default" w:ascii="Times New Roman" w:hAnsi="Times New Roman" w:eastAsia="仿宋_GB2312" w:cs="Times New Roman"/>
          <w:color w:val="auto"/>
          <w:kern w:val="2"/>
          <w:sz w:val="32"/>
          <w:szCs w:val="32"/>
          <w:lang w:val="en-US" w:eastAsia="zh-CN" w:bidi="ar-SA"/>
        </w:rPr>
        <w:t>100</w:t>
      </w:r>
      <w:r>
        <w:rPr>
          <w:rFonts w:hint="default" w:ascii="Times New Roman" w:hAnsi="Times New Roman" w:eastAsia="仿宋_GB2312" w:cs="Times New Roman"/>
          <w:color w:val="auto"/>
          <w:kern w:val="2"/>
          <w:sz w:val="32"/>
          <w:szCs w:val="32"/>
          <w:lang w:val="zh-CN" w:eastAsia="zh-CN" w:bidi="ar-SA"/>
        </w:rPr>
        <w:t>分。全年预算数为</w:t>
      </w:r>
      <w:r>
        <w:rPr>
          <w:rFonts w:hint="default" w:ascii="Times New Roman" w:hAnsi="Times New Roman" w:eastAsia="仿宋_GB2312" w:cs="Times New Roman"/>
          <w:color w:val="auto"/>
          <w:kern w:val="2"/>
          <w:sz w:val="32"/>
          <w:szCs w:val="32"/>
          <w:lang w:val="en-US" w:eastAsia="zh-CN" w:bidi="ar-SA"/>
        </w:rPr>
        <w:t>242</w:t>
      </w:r>
      <w:r>
        <w:rPr>
          <w:rFonts w:hint="default" w:ascii="Times New Roman" w:hAnsi="Times New Roman" w:eastAsia="仿宋_GB2312" w:cs="Times New Roman"/>
          <w:color w:val="auto"/>
          <w:kern w:val="2"/>
          <w:sz w:val="32"/>
          <w:szCs w:val="32"/>
          <w:lang w:val="zh-CN" w:eastAsia="zh-CN" w:bidi="ar-SA"/>
        </w:rPr>
        <w:t>万元，执行数为</w:t>
      </w:r>
      <w:r>
        <w:rPr>
          <w:rFonts w:hint="default" w:ascii="Times New Roman" w:hAnsi="Times New Roman" w:eastAsia="仿宋_GB2312" w:cs="Times New Roman"/>
          <w:sz w:val="32"/>
          <w:szCs w:val="32"/>
        </w:rPr>
        <w:t>236.61225</w:t>
      </w:r>
      <w:r>
        <w:rPr>
          <w:rFonts w:hint="default" w:ascii="Times New Roman" w:hAnsi="Times New Roman" w:eastAsia="仿宋_GB2312" w:cs="Times New Roman"/>
          <w:color w:val="auto"/>
          <w:kern w:val="2"/>
          <w:sz w:val="32"/>
          <w:szCs w:val="32"/>
          <w:lang w:val="zh-CN" w:eastAsia="zh-CN" w:bidi="ar-SA"/>
        </w:rPr>
        <w:t>万元，完成预算的</w:t>
      </w:r>
      <w:r>
        <w:rPr>
          <w:rFonts w:hint="default" w:ascii="Times New Roman" w:hAnsi="Times New Roman" w:eastAsia="仿宋_GB2312" w:cs="Times New Roman"/>
          <w:sz w:val="32"/>
          <w:szCs w:val="32"/>
        </w:rPr>
        <w:t>97.77</w:t>
      </w:r>
      <w:r>
        <w:rPr>
          <w:rFonts w:hint="default" w:ascii="Times New Roman" w:hAnsi="Times New Roman" w:eastAsia="仿宋_GB2312" w:cs="Times New Roman"/>
          <w:color w:val="auto"/>
          <w:kern w:val="2"/>
          <w:sz w:val="32"/>
          <w:szCs w:val="32"/>
          <w:lang w:val="zh-CN" w:eastAsia="zh-CN" w:bidi="ar-SA"/>
        </w:rPr>
        <w:t>%。项目绩效目标完成情况：</w:t>
      </w:r>
      <w:r>
        <w:rPr>
          <w:rFonts w:hint="default" w:ascii="Times New Roman" w:hAnsi="Times New Roman" w:eastAsia="仿宋_GB2312" w:cs="Times New Roman"/>
          <w:sz w:val="32"/>
          <w:szCs w:val="32"/>
        </w:rPr>
        <w:t>该项目通过电子数据恢复取证系统，对市县两级纪委监督检查、审查调查工作中涉及案件办理工作的计算机、手机等数据存储介质进行数据恢复、数据检索、数据提取、数据保存工作，进一步实现办案工作的科技化、信息化。该项目通过竞争性磋商，确定服务单位，程序合法合规。项目完成后均组织专业人员进行了验收，验收结论为合格</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lang w:val="en-US" w:eastAsia="zh-CN"/>
        </w:rPr>
        <w:t>未发现问题。</w:t>
      </w:r>
    </w:p>
    <w:p>
      <w:pPr>
        <w:adjustRightInd w:val="0"/>
        <w:snapToGrid w:val="0"/>
        <w:spacing w:line="584" w:lineRule="exact"/>
        <w:jc w:val="center"/>
        <w:rPr>
          <w:rFonts w:hint="default" w:ascii="Times New Roman" w:hAnsi="Times New Roman" w:eastAsia="微软雅黑" w:cs="Times New Roman"/>
          <w:sz w:val="44"/>
          <w:szCs w:val="44"/>
        </w:rPr>
      </w:pPr>
    </w:p>
    <w:p>
      <w:pPr>
        <w:pStyle w:val="2"/>
        <w:rPr>
          <w:rFonts w:hint="default" w:ascii="Times New Roman" w:hAnsi="Times New Roman" w:eastAsia="微软雅黑" w:cs="Times New Roman"/>
          <w:sz w:val="44"/>
          <w:szCs w:val="44"/>
        </w:rPr>
      </w:pPr>
    </w:p>
    <w:p>
      <w:pPr>
        <w:rPr>
          <w:rFonts w:hint="default" w:ascii="Times New Roman" w:hAnsi="Times New Roman" w:cs="Times New Roman"/>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both"/>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eastAsia="微软雅黑" w:cs="Times New Roman"/>
          <w:sz w:val="44"/>
          <w:szCs w:val="44"/>
        </w:rPr>
      </w:pPr>
    </w:p>
    <w:p>
      <w:pPr>
        <w:adjustRightInd w:val="0"/>
        <w:snapToGrid w:val="0"/>
        <w:spacing w:line="584" w:lineRule="exact"/>
        <w:jc w:val="center"/>
        <w:rPr>
          <w:rFonts w:hint="default" w:ascii="Times New Roman" w:hAnsi="Times New Roman" w:cs="Times New Roman"/>
          <w:szCs w:val="21"/>
        </w:rPr>
      </w:pPr>
      <w:r>
        <w:rPr>
          <w:rFonts w:hint="default" w:ascii="Times New Roman" w:hAnsi="Times New Roman" w:eastAsia="微软雅黑" w:cs="Times New Roman"/>
          <w:sz w:val="44"/>
          <w:szCs w:val="44"/>
          <w:lang w:eastAsia="zh-CN"/>
        </w:rPr>
        <w:t>项目支出</w:t>
      </w:r>
      <w:r>
        <w:rPr>
          <w:rFonts w:hint="default" w:ascii="Times New Roman" w:hAnsi="Times New Roman" w:eastAsia="微软雅黑" w:cs="Times New Roman"/>
          <w:sz w:val="44"/>
          <w:szCs w:val="44"/>
        </w:rPr>
        <w:t>绩效自评表</w:t>
      </w:r>
    </w:p>
    <w:tbl>
      <w:tblPr>
        <w:tblStyle w:val="12"/>
        <w:tblW w:w="4997" w:type="pct"/>
        <w:tblInd w:w="0" w:type="dxa"/>
        <w:tblLayout w:type="autofit"/>
        <w:tblCellMar>
          <w:top w:w="0" w:type="dxa"/>
          <w:left w:w="11" w:type="dxa"/>
          <w:bottom w:w="0" w:type="dxa"/>
          <w:right w:w="11" w:type="dxa"/>
        </w:tblCellMar>
      </w:tblPr>
      <w:tblGrid>
        <w:gridCol w:w="590"/>
        <w:gridCol w:w="436"/>
        <w:gridCol w:w="443"/>
        <w:gridCol w:w="1542"/>
        <w:gridCol w:w="80"/>
        <w:gridCol w:w="1440"/>
        <w:gridCol w:w="731"/>
        <w:gridCol w:w="72"/>
        <w:gridCol w:w="1109"/>
        <w:gridCol w:w="933"/>
        <w:gridCol w:w="145"/>
        <w:gridCol w:w="1228"/>
      </w:tblGrid>
      <w:tr>
        <w:tblPrEx>
          <w:tblCellMar>
            <w:top w:w="0" w:type="dxa"/>
            <w:left w:w="11" w:type="dxa"/>
            <w:bottom w:w="0" w:type="dxa"/>
            <w:right w:w="11" w:type="dxa"/>
          </w:tblCellMar>
        </w:tblPrEx>
        <w:trPr>
          <w:trHeight w:val="567" w:hRule="atLeast"/>
        </w:trPr>
        <w:tc>
          <w:tcPr>
            <w:tcW w:w="58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项目名称</w:t>
            </w:r>
          </w:p>
        </w:tc>
        <w:tc>
          <w:tcPr>
            <w:tcW w:w="4413" w:type="pct"/>
            <w:gridSpan w:val="10"/>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电子数据恢复取证系统建设专项经费</w:t>
            </w:r>
          </w:p>
        </w:tc>
      </w:tr>
      <w:tr>
        <w:tblPrEx>
          <w:tblCellMar>
            <w:top w:w="0" w:type="dxa"/>
            <w:left w:w="11" w:type="dxa"/>
            <w:bottom w:w="0" w:type="dxa"/>
            <w:right w:w="11" w:type="dxa"/>
          </w:tblCellMar>
        </w:tblPrEx>
        <w:trPr>
          <w:trHeight w:val="567" w:hRule="atLeast"/>
        </w:trPr>
        <w:tc>
          <w:tcPr>
            <w:tcW w:w="58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主管部门</w:t>
            </w:r>
          </w:p>
        </w:tc>
        <w:tc>
          <w:tcPr>
            <w:tcW w:w="2420"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中国共产党廊坊市纪律检查委员会</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实施单位</w:t>
            </w:r>
          </w:p>
        </w:tc>
        <w:tc>
          <w:tcPr>
            <w:tcW w:w="1317"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中国共产党廊坊市纪律检查委员会</w:t>
            </w:r>
          </w:p>
        </w:tc>
      </w:tr>
      <w:tr>
        <w:tblPrEx>
          <w:tblCellMar>
            <w:top w:w="0" w:type="dxa"/>
            <w:left w:w="11" w:type="dxa"/>
            <w:bottom w:w="0" w:type="dxa"/>
            <w:right w:w="11" w:type="dxa"/>
          </w:tblCellMar>
        </w:tblPrEx>
        <w:trPr>
          <w:trHeight w:val="312" w:hRule="atLeast"/>
        </w:trPr>
        <w:tc>
          <w:tcPr>
            <w:tcW w:w="586" w:type="pct"/>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项目资金</w:t>
            </w:r>
            <w:r>
              <w:rPr>
                <w:rFonts w:hint="default" w:ascii="Times New Roman" w:hAnsi="Times New Roman" w:cs="Times New Roman"/>
                <w:kern w:val="0"/>
                <w:szCs w:val="21"/>
              </w:rPr>
              <w:br w:type="textWrapping"/>
            </w:r>
            <w:r>
              <w:rPr>
                <w:rFonts w:hint="default" w:ascii="Times New Roman" w:hAnsi="Times New Roman" w:cs="Times New Roman"/>
                <w:kern w:val="0"/>
                <w:szCs w:val="21"/>
              </w:rPr>
              <w:t>（万元）</w:t>
            </w:r>
          </w:p>
        </w:tc>
        <w:tc>
          <w:tcPr>
            <w:tcW w:w="1180" w:type="pct"/>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82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年初</w:t>
            </w:r>
            <w:r>
              <w:rPr>
                <w:rFonts w:hint="default" w:ascii="Times New Roman" w:hAnsi="Times New Roman" w:cs="Times New Roman"/>
                <w:kern w:val="0"/>
                <w:szCs w:val="21"/>
              </w:rPr>
              <w:br w:type="textWrapping"/>
            </w:r>
            <w:r>
              <w:rPr>
                <w:rFonts w:hint="default" w:ascii="Times New Roman" w:hAnsi="Times New Roman" w:cs="Times New Roman"/>
                <w:kern w:val="0"/>
                <w:szCs w:val="21"/>
              </w:rPr>
              <w:t>预算数</w:t>
            </w:r>
            <w:r>
              <w:rPr>
                <w:rFonts w:hint="default" w:ascii="Times New Roman" w:hAnsi="Times New Roman" w:cs="Times New Roman"/>
                <w:kern w:val="0"/>
                <w:szCs w:val="21"/>
              </w:rPr>
              <w:br w:type="textWrapping"/>
            </w:r>
            <w:r>
              <w:rPr>
                <w:rFonts w:hint="default" w:ascii="Times New Roman" w:hAnsi="Times New Roman" w:cs="Times New Roman"/>
                <w:kern w:val="0"/>
                <w:szCs w:val="21"/>
              </w:rPr>
              <w:t>（A）</w:t>
            </w:r>
          </w:p>
        </w:tc>
        <w:tc>
          <w:tcPr>
            <w:tcW w:w="41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全年</w:t>
            </w:r>
            <w:r>
              <w:rPr>
                <w:rFonts w:hint="default" w:ascii="Times New Roman" w:hAnsi="Times New Roman" w:cs="Times New Roman"/>
                <w:kern w:val="0"/>
                <w:szCs w:val="21"/>
              </w:rPr>
              <w:br w:type="textWrapping"/>
            </w:r>
            <w:r>
              <w:rPr>
                <w:rFonts w:hint="default" w:ascii="Times New Roman" w:hAnsi="Times New Roman" w:cs="Times New Roman"/>
                <w:kern w:val="0"/>
                <w:szCs w:val="21"/>
              </w:rPr>
              <w:t>预算数</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（B）</w:t>
            </w:r>
          </w:p>
        </w:tc>
        <w:tc>
          <w:tcPr>
            <w:tcW w:w="675" w:type="pct"/>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全年</w:t>
            </w:r>
            <w:r>
              <w:rPr>
                <w:rFonts w:hint="default" w:ascii="Times New Roman" w:hAnsi="Times New Roman" w:cs="Times New Roman"/>
                <w:kern w:val="0"/>
                <w:szCs w:val="21"/>
              </w:rPr>
              <w:br w:type="textWrapping"/>
            </w:r>
            <w:r>
              <w:rPr>
                <w:rFonts w:hint="default" w:ascii="Times New Roman" w:hAnsi="Times New Roman" w:cs="Times New Roman"/>
                <w:kern w:val="0"/>
                <w:szCs w:val="21"/>
              </w:rPr>
              <w:t>执行数</w:t>
            </w:r>
            <w:r>
              <w:rPr>
                <w:rFonts w:hint="default" w:ascii="Times New Roman" w:hAnsi="Times New Roman" w:cs="Times New Roman"/>
                <w:kern w:val="0"/>
                <w:szCs w:val="21"/>
              </w:rPr>
              <w:br w:type="textWrapping"/>
            </w:r>
            <w:r>
              <w:rPr>
                <w:rFonts w:hint="default" w:ascii="Times New Roman" w:hAnsi="Times New Roman" w:cs="Times New Roman"/>
                <w:kern w:val="0"/>
                <w:szCs w:val="21"/>
              </w:rPr>
              <w:t>（C）</w:t>
            </w:r>
          </w:p>
        </w:tc>
        <w:tc>
          <w:tcPr>
            <w:tcW w:w="53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执行率</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（C/B）</w:t>
            </w:r>
          </w:p>
        </w:tc>
        <w:tc>
          <w:tcPr>
            <w:tcW w:w="783" w:type="pct"/>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得分</w:t>
            </w:r>
          </w:p>
        </w:tc>
      </w:tr>
      <w:tr>
        <w:tblPrEx>
          <w:tblCellMar>
            <w:top w:w="0" w:type="dxa"/>
            <w:left w:w="11" w:type="dxa"/>
            <w:bottom w:w="0" w:type="dxa"/>
            <w:right w:w="11" w:type="dxa"/>
          </w:tblCellMar>
        </w:tblPrEx>
        <w:trPr>
          <w:trHeight w:val="633"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22"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417"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675"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33"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783"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rPr>
                <w:rFonts w:hint="default" w:ascii="Times New Roman" w:hAnsi="Times New Roman" w:cs="Times New Roman"/>
                <w:kern w:val="0"/>
                <w:szCs w:val="21"/>
              </w:rPr>
            </w:pPr>
            <w:r>
              <w:rPr>
                <w:rFonts w:hint="default" w:ascii="Times New Roman" w:hAnsi="Times New Roman" w:cs="Times New Roman"/>
                <w:kern w:val="0"/>
                <w:szCs w:val="21"/>
              </w:rPr>
              <w:t>年度资金总额</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242.00</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97.77%</w:t>
            </w: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left"/>
              <w:rPr>
                <w:rFonts w:hint="default" w:ascii="Times New Roman" w:hAnsi="Times New Roman" w:cs="Times New Roman"/>
                <w:kern w:val="0"/>
                <w:szCs w:val="21"/>
              </w:rPr>
            </w:pPr>
            <w:r>
              <w:rPr>
                <w:rFonts w:hint="default" w:ascii="Times New Roman" w:hAnsi="Times New Roman" w:cs="Times New Roman"/>
                <w:kern w:val="0"/>
                <w:szCs w:val="21"/>
              </w:rPr>
              <w:t>其中：当年财政拨款</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242.00</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97.77%</w:t>
            </w: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left"/>
              <w:rPr>
                <w:rFonts w:hint="default" w:ascii="Times New Roman" w:hAnsi="Times New Roman" w:cs="Times New Roman"/>
                <w:kern w:val="0"/>
                <w:szCs w:val="21"/>
              </w:rPr>
            </w:pPr>
            <w:r>
              <w:rPr>
                <w:rFonts w:hint="default" w:ascii="Times New Roman" w:hAnsi="Times New Roman" w:cs="Times New Roman"/>
                <w:kern w:val="0"/>
                <w:szCs w:val="21"/>
              </w:rPr>
              <w:t>上年结转资金</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ind w:firstLine="720" w:firstLineChars="300"/>
              <w:jc w:val="left"/>
              <w:rPr>
                <w:rFonts w:hint="default" w:ascii="Times New Roman" w:hAnsi="Times New Roman" w:cs="Times New Roman"/>
                <w:kern w:val="0"/>
                <w:szCs w:val="21"/>
              </w:rPr>
            </w:pPr>
            <w:r>
              <w:rPr>
                <w:rFonts w:hint="default" w:ascii="Times New Roman" w:hAnsi="Times New Roman" w:cs="Times New Roman"/>
                <w:kern w:val="0"/>
                <w:szCs w:val="21"/>
              </w:rPr>
              <w:t>其他资金</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567" w:hRule="atLeast"/>
        </w:trPr>
        <w:tc>
          <w:tcPr>
            <w:tcW w:w="337" w:type="pct"/>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年度总体目标</w:t>
            </w:r>
          </w:p>
        </w:tc>
        <w:tc>
          <w:tcPr>
            <w:tcW w:w="2252"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预期目标</w:t>
            </w:r>
          </w:p>
        </w:tc>
        <w:tc>
          <w:tcPr>
            <w:tcW w:w="2410" w:type="pct"/>
            <w:gridSpan w:val="6"/>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实际完成情况</w:t>
            </w:r>
          </w:p>
        </w:tc>
      </w:tr>
      <w:tr>
        <w:tblPrEx>
          <w:tblCellMar>
            <w:top w:w="0" w:type="dxa"/>
            <w:left w:w="11" w:type="dxa"/>
            <w:bottom w:w="0" w:type="dxa"/>
            <w:right w:w="11" w:type="dxa"/>
          </w:tblCellMar>
        </w:tblPrEx>
        <w:trPr>
          <w:trHeight w:val="581" w:hRule="atLeast"/>
        </w:trPr>
        <w:tc>
          <w:tcPr>
            <w:tcW w:w="337" w:type="pct"/>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2252"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both"/>
              <w:rPr>
                <w:rFonts w:hint="default" w:ascii="Times New Roman" w:hAnsi="Times New Roman" w:cs="Times New Roman"/>
                <w:kern w:val="0"/>
                <w:szCs w:val="21"/>
              </w:rPr>
            </w:pPr>
            <w:r>
              <w:rPr>
                <w:rFonts w:hint="default" w:ascii="Times New Roman" w:hAnsi="Times New Roman" w:cs="Times New Roman"/>
                <w:kern w:val="0"/>
                <w:szCs w:val="21"/>
              </w:rPr>
              <w:t>进一步实现办案工作科技化、信息化。</w:t>
            </w:r>
          </w:p>
        </w:tc>
        <w:tc>
          <w:tcPr>
            <w:tcW w:w="2410" w:type="pct"/>
            <w:gridSpan w:val="6"/>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基本完成。</w:t>
            </w:r>
          </w:p>
        </w:tc>
      </w:tr>
      <w:tr>
        <w:tblPrEx>
          <w:tblCellMar>
            <w:top w:w="0" w:type="dxa"/>
            <w:left w:w="11" w:type="dxa"/>
            <w:bottom w:w="0" w:type="dxa"/>
            <w:right w:w="11" w:type="dxa"/>
          </w:tblCellMar>
        </w:tblPrEx>
        <w:trPr>
          <w:trHeight w:val="1368" w:hRule="atLeast"/>
        </w:trPr>
        <w:tc>
          <w:tcPr>
            <w:tcW w:w="337" w:type="pct"/>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绩效</w:t>
            </w:r>
            <w:r>
              <w:rPr>
                <w:rFonts w:hint="default" w:ascii="Times New Roman" w:hAnsi="Times New Roman" w:cs="Times New Roman"/>
                <w:kern w:val="0"/>
                <w:szCs w:val="21"/>
              </w:rPr>
              <w:br w:type="textWrapping"/>
            </w:r>
            <w:r>
              <w:rPr>
                <w:rFonts w:hint="default" w:ascii="Times New Roman" w:hAnsi="Times New Roman" w:cs="Times New Roman"/>
                <w:kern w:val="0"/>
                <w:szCs w:val="21"/>
              </w:rPr>
              <w:t>指标</w:t>
            </w:r>
          </w:p>
        </w:tc>
        <w:tc>
          <w:tcPr>
            <w:tcW w:w="502" w:type="pct"/>
            <w:gridSpan w:val="2"/>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一级</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二级</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68"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三级指标</w:t>
            </w:r>
          </w:p>
        </w:tc>
        <w:tc>
          <w:tcPr>
            <w:tcW w:w="459"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年度</w:t>
            </w:r>
            <w:r>
              <w:rPr>
                <w:rFonts w:hint="default" w:ascii="Times New Roman" w:hAnsi="Times New Roman" w:cs="Times New Roman"/>
                <w:kern w:val="0"/>
                <w:szCs w:val="21"/>
              </w:rPr>
              <w:br w:type="textWrapping"/>
            </w:r>
            <w:r>
              <w:rPr>
                <w:rFonts w:hint="default" w:ascii="Times New Roman" w:hAnsi="Times New Roman" w:cs="Times New Roman"/>
                <w:kern w:val="0"/>
                <w:szCs w:val="21"/>
              </w:rPr>
              <w:t>指标值</w:t>
            </w:r>
          </w:p>
        </w:tc>
        <w:tc>
          <w:tcPr>
            <w:tcW w:w="633"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实际</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完成值</w:t>
            </w:r>
          </w:p>
        </w:tc>
        <w:tc>
          <w:tcPr>
            <w:tcW w:w="614" w:type="pct"/>
            <w:gridSpan w:val="2"/>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分值</w:t>
            </w:r>
          </w:p>
        </w:tc>
        <w:tc>
          <w:tcPr>
            <w:tcW w:w="702" w:type="pc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自评</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得分</w:t>
            </w:r>
          </w:p>
        </w:tc>
      </w:tr>
      <w:tr>
        <w:tblPrEx>
          <w:tblCellMar>
            <w:top w:w="0" w:type="dxa"/>
            <w:left w:w="11" w:type="dxa"/>
            <w:bottom w:w="0" w:type="dxa"/>
            <w:right w:w="11" w:type="dxa"/>
          </w:tblCellMar>
        </w:tblPrEx>
        <w:trPr>
          <w:trHeight w:val="514"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产出</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数量指标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建设电子数据恢复取证系统</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kern w:val="0"/>
                <w:szCs w:val="21"/>
              </w:rPr>
            </w:pPr>
            <w:r>
              <w:rPr>
                <w:rFonts w:hint="default" w:ascii="Times New Roman" w:hAnsi="Times New Roman" w:cs="Times New Roman"/>
                <w:color w:val="000000"/>
                <w:kern w:val="0"/>
                <w:szCs w:val="21"/>
                <w:lang w:bidi="ar"/>
              </w:rPr>
              <w:t>1</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kern w:val="0"/>
                <w:szCs w:val="21"/>
              </w:rPr>
            </w:pPr>
            <w:r>
              <w:rPr>
                <w:rFonts w:hint="default" w:ascii="Times New Roman" w:hAnsi="Times New Roman" w:cs="Times New Roman"/>
                <w:color w:val="000000"/>
                <w:kern w:val="0"/>
                <w:szCs w:val="21"/>
                <w:lang w:bidi="ar"/>
              </w:rPr>
              <w:t>1</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质量指标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设备验收合格率</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时效指标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支付及时性</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成本指标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项目建设成本</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≤260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社会效益</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保障纪检监察工作、巡视巡察工作顺利开展</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保障审查调查工作顺利开展</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实现</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30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30</w:t>
            </w:r>
          </w:p>
        </w:tc>
      </w:tr>
      <w:tr>
        <w:tblPrEx>
          <w:tblCellMar>
            <w:top w:w="0" w:type="dxa"/>
            <w:left w:w="11" w:type="dxa"/>
            <w:bottom w:w="0" w:type="dxa"/>
            <w:right w:w="11" w:type="dxa"/>
          </w:tblCellMar>
        </w:tblPrEx>
        <w:tc>
          <w:tcPr>
            <w:tcW w:w="337" w:type="pct"/>
            <w:vMerge w:val="continue"/>
            <w:tcBorders>
              <w:left w:val="single" w:color="auto" w:sz="4" w:space="0"/>
              <w:bottom w:val="nil"/>
              <w:right w:val="single" w:color="auto" w:sz="4" w:space="0"/>
            </w:tcBorders>
            <w:vAlign w:val="center"/>
          </w:tcPr>
          <w:p>
            <w:pPr>
              <w:rPr>
                <w:rFonts w:hint="default" w:ascii="Times New Roman" w:hAnsi="Times New Roman" w:cs="Times New Roman"/>
              </w:rPr>
            </w:pPr>
          </w:p>
        </w:tc>
        <w:tc>
          <w:tcPr>
            <w:tcW w:w="502"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满意度</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服务对象</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满意度指标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干部职工的满意度</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≥95</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single" w:color="auto" w:sz="4" w:space="0"/>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454" w:hRule="atLeast"/>
        </w:trPr>
        <w:tc>
          <w:tcPr>
            <w:tcW w:w="4297" w:type="pct"/>
            <w:gridSpan w:val="11"/>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总分</w:t>
            </w:r>
          </w:p>
        </w:tc>
        <w:tc>
          <w:tcPr>
            <w:tcW w:w="702" w:type="pct"/>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kern w:val="0"/>
                <w:szCs w:val="21"/>
                <w:lang w:val="en-US" w:eastAsia="zh-CN"/>
              </w:rPr>
              <w:t>100</w:t>
            </w:r>
          </w:p>
        </w:tc>
      </w:tr>
    </w:tbl>
    <w:p>
      <w:pPr>
        <w:numPr>
          <w:ilvl w:val="0"/>
          <w:numId w:val="0"/>
        </w:numPr>
        <w:adjustRightInd w:val="0"/>
        <w:snapToGrid w:val="0"/>
        <w:spacing w:line="580" w:lineRule="exact"/>
        <w:ind w:firstLine="643" w:firstLineChars="200"/>
        <w:rPr>
          <w:rFonts w:hint="default" w:ascii="Times New Roman" w:hAnsi="Times New Roman" w:eastAsia="仿宋_GB2312" w:cs="Times New Roman"/>
          <w:b/>
          <w:bCs/>
          <w:sz w:val="32"/>
          <w:szCs w:val="32"/>
          <w:lang w:eastAsia="zh-CN"/>
        </w:rPr>
      </w:pPr>
    </w:p>
    <w:p>
      <w:pPr>
        <w:numPr>
          <w:ilvl w:val="0"/>
          <w:numId w:val="0"/>
        </w:num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lang w:eastAsia="zh-CN"/>
        </w:rPr>
        <w:t>（三）单位</w:t>
      </w:r>
      <w:r>
        <w:rPr>
          <w:rFonts w:hint="default" w:ascii="Times New Roman" w:hAnsi="Times New Roman" w:eastAsia="仿宋_GB2312" w:cs="Times New Roman"/>
          <w:b/>
          <w:bCs/>
          <w:sz w:val="32"/>
          <w:szCs w:val="32"/>
        </w:rPr>
        <w:t>评价项目绩效评价结果</w:t>
      </w:r>
    </w:p>
    <w:p>
      <w:pPr>
        <w:pStyle w:val="2"/>
        <w:numPr>
          <w:ilvl w:val="0"/>
          <w:numId w:val="0"/>
        </w:numPr>
        <w:ind w:firstLine="640" w:firstLineChars="200"/>
        <w:rPr>
          <w:rFonts w:hint="default" w:ascii="Times New Roman" w:hAnsi="Times New Roman" w:eastAsia="黑体" w:cs="Times New Roman"/>
          <w:sz w:val="32"/>
          <w:szCs w:val="32"/>
        </w:rPr>
      </w:pPr>
      <w:r>
        <w:rPr>
          <w:rFonts w:hint="default" w:ascii="Times New Roman" w:hAnsi="Times New Roman" w:eastAsia="仿宋_GB2312" w:cs="Times New Roman"/>
          <w:color w:val="auto"/>
          <w:kern w:val="0"/>
          <w:sz w:val="32"/>
          <w:szCs w:val="32"/>
          <w:lang w:val="en-US" w:eastAsia="zh-CN" w:bidi="ar-SA"/>
        </w:rPr>
        <w:t>优。</w:t>
      </w:r>
    </w:p>
    <w:p>
      <w:pPr>
        <w:numPr>
          <w:ilvl w:val="0"/>
          <w:numId w:val="0"/>
        </w:numPr>
        <w:adjustRightInd w:val="0"/>
        <w:snapToGrid w:val="0"/>
        <w:spacing w:line="580" w:lineRule="exact"/>
        <w:ind w:firstLine="640" w:firstLineChars="200"/>
        <w:rPr>
          <w:rFonts w:hint="default" w:ascii="Times New Roman" w:hAnsi="Times New Roman" w:eastAsia="楷体_GB2312" w:cs="Times New Roman"/>
          <w:b/>
          <w:bCs/>
          <w:sz w:val="32"/>
          <w:szCs w:val="32"/>
        </w:rPr>
      </w:pPr>
      <w:r>
        <w:rPr>
          <w:rFonts w:hint="default" w:ascii="Times New Roman" w:hAnsi="Times New Roman" w:eastAsia="黑体" w:cs="Times New Roman"/>
          <w:sz w:val="32"/>
          <w:szCs w:val="32"/>
        </w:rPr>
        <w:t>十、其他需要说明的情况</w:t>
      </w:r>
    </w:p>
    <w:p>
      <w:pPr>
        <w:ind w:firstLine="620" w:firstLineChars="200"/>
        <w:rPr>
          <w:rFonts w:hint="default" w:ascii="Times New Roman" w:hAnsi="Times New Roman" w:eastAsia="仿宋_GB2312" w:cs="Times New Roman"/>
          <w:color w:val="auto"/>
          <w:kern w:val="0"/>
          <w:sz w:val="32"/>
          <w:szCs w:val="32"/>
          <w:lang w:val="en-US" w:eastAsia="zh-CN" w:bidi="ar"/>
        </w:rPr>
      </w:pPr>
      <w:r>
        <w:rPr>
          <w:rFonts w:hint="default" w:ascii="Times New Roman" w:hAnsi="Times New Roman" w:eastAsia="仿宋_GB2312" w:cs="Times New Roman"/>
          <w:b w:val="0"/>
          <w:bCs w:val="0"/>
          <w:color w:val="000000"/>
          <w:sz w:val="31"/>
          <w:szCs w:val="31"/>
        </w:rPr>
        <w:t>1</w:t>
      </w:r>
      <w:r>
        <w:rPr>
          <w:rFonts w:hint="default" w:ascii="Times New Roman" w:hAnsi="Times New Roman" w:eastAsia="仿宋_GB2312" w:cs="Times New Roman"/>
          <w:color w:val="auto"/>
          <w:kern w:val="0"/>
          <w:sz w:val="32"/>
          <w:szCs w:val="32"/>
          <w:lang w:val="en-US" w:eastAsia="zh-CN" w:bidi="ar"/>
        </w:rPr>
        <w:t>.本单位202</w:t>
      </w:r>
      <w:r>
        <w:rPr>
          <w:rFonts w:hint="eastAsia" w:ascii="Times New Roman" w:hAnsi="Times New Roman" w:eastAsia="仿宋_GB2312" w:cs="Times New Roman"/>
          <w:color w:val="auto"/>
          <w:kern w:val="0"/>
          <w:sz w:val="32"/>
          <w:szCs w:val="32"/>
          <w:lang w:val="en-US" w:eastAsia="zh-CN" w:bidi="ar"/>
        </w:rPr>
        <w:t>3</w:t>
      </w:r>
      <w:r>
        <w:rPr>
          <w:rFonts w:hint="default" w:ascii="Times New Roman" w:hAnsi="Times New Roman" w:eastAsia="仿宋_GB2312" w:cs="Times New Roman"/>
          <w:color w:val="auto"/>
          <w:kern w:val="0"/>
          <w:sz w:val="32"/>
          <w:szCs w:val="32"/>
          <w:lang w:val="en-US" w:eastAsia="zh-CN" w:bidi="ar"/>
        </w:rPr>
        <w:t>年度政府性基金预算、国有资金经营预算无 收支及结转结余情况，故政府性基金预算财政拨款收入支出决算表、国有资本经营预算财政拨款支出决算表以空表列示。</w:t>
      </w:r>
      <w:r>
        <w:rPr>
          <w:rFonts w:hint="eastAsia" w:ascii="Times New Roman" w:hAnsi="Times New Roman" w:eastAsia="仿宋_GB2312" w:cs="Times New Roman"/>
          <w:color w:val="auto"/>
          <w:kern w:val="0"/>
          <w:sz w:val="32"/>
          <w:szCs w:val="32"/>
          <w:lang w:val="en-US" w:eastAsia="zh-CN" w:bidi="ar"/>
        </w:rPr>
        <w:t xml:space="preserve"> </w:t>
      </w:r>
      <w:bookmarkStart w:id="0" w:name="_GoBack"/>
      <w:bookmarkEnd w:id="0"/>
      <w:r>
        <w:rPr>
          <w:rFonts w:hint="default" w:ascii="Times New Roman" w:hAnsi="Times New Roman" w:eastAsia="仿宋_GB2312" w:cs="Times New Roman"/>
          <w:color w:val="auto"/>
          <w:kern w:val="0"/>
          <w:sz w:val="32"/>
          <w:szCs w:val="32"/>
          <w:lang w:val="en-US" w:eastAsia="zh-CN" w:bidi="ar"/>
        </w:rPr>
        <w:t xml:space="preserve"> </w:t>
      </w:r>
    </w:p>
    <w:p>
      <w:pPr>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color w:val="auto"/>
          <w:kern w:val="0"/>
          <w:sz w:val="32"/>
          <w:szCs w:val="32"/>
          <w:lang w:val="en-US" w:eastAsia="zh-CN" w:bidi="ar"/>
        </w:rPr>
        <w:t>2.由于决算公开表格中金额数值应当保留两位小数，公开数据为四舍五入计算结果，个别数据合计项与分项之和存在小数点后差额，特此说明。</w:t>
      </w:r>
      <w:r>
        <w:rPr>
          <w:rFonts w:hint="default" w:ascii="Times New Roman" w:hAnsi="Times New Roman" w:eastAsia="仿宋_GB2312" w:cs="Times New Roman"/>
          <w:sz w:val="32"/>
          <w:szCs w:val="32"/>
        </w:rPr>
        <w:br w:type="page"/>
      </w:r>
    </w:p>
    <w:p>
      <w:pPr>
        <w:adjustRightInd w:val="0"/>
        <w:snapToGrid w:val="0"/>
        <w:spacing w:line="580" w:lineRule="exact"/>
        <w:ind w:firstLine="640" w:firstLineChars="200"/>
        <w:rPr>
          <w:rFonts w:hint="default" w:ascii="Times New Roman" w:hAnsi="Times New Roman" w:eastAsia="仿宋_GB2312" w:cs="Times New Roman"/>
          <w:sz w:val="32"/>
          <w:szCs w:val="32"/>
        </w:rPr>
      </w:pPr>
    </w:p>
    <w:p>
      <w:pPr>
        <w:widowControl/>
        <w:spacing w:line="580" w:lineRule="exact"/>
        <w:ind w:firstLine="883" w:firstLineChars="200"/>
        <w:jc w:val="left"/>
        <w:rPr>
          <w:rFonts w:hint="default" w:ascii="Times New Roman" w:hAnsi="Times New Roman" w:eastAsia="宋体" w:cs="Times New Roman"/>
          <w:b/>
          <w:bCs/>
          <w:kern w:val="0"/>
          <w:sz w:val="44"/>
          <w:szCs w:val="44"/>
        </w:rPr>
      </w:pPr>
    </w:p>
    <w:p>
      <w:pPr>
        <w:rPr>
          <w:rFonts w:hint="default" w:ascii="Times New Roman" w:hAnsi="Times New Roman" w:eastAsia="仿宋_GB2312" w:cs="Times New Roman"/>
          <w:sz w:val="32"/>
          <w:szCs w:val="32"/>
        </w:rPr>
      </w:pPr>
    </w:p>
    <w:p>
      <w:pPr>
        <w:widowControl/>
        <w:jc w:val="cente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第四部分 相关名词解释</w:t>
      </w:r>
    </w:p>
    <w:p>
      <w:pP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br w:type="page"/>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一、</w:t>
      </w:r>
      <w:r>
        <w:rPr>
          <w:rFonts w:hint="default" w:ascii="Times New Roman" w:hAnsi="Times New Roman" w:eastAsia="仿宋_GB2312" w:cs="Times New Roman"/>
          <w:b/>
          <w:bCs/>
          <w:color w:val="000000"/>
          <w:kern w:val="0"/>
          <w:sz w:val="32"/>
          <w:szCs w:val="32"/>
        </w:rPr>
        <w:t>财政拨款收入：</w:t>
      </w:r>
      <w:r>
        <w:rPr>
          <w:rFonts w:hint="default" w:ascii="Times New Roman" w:hAnsi="Times New Roman" w:eastAsia="仿宋_GB2312" w:cs="Times New Roman"/>
          <w:bCs/>
          <w:color w:val="000000"/>
          <w:kern w:val="0"/>
          <w:sz w:val="32"/>
          <w:szCs w:val="32"/>
        </w:rPr>
        <w:t>指单位从同级财政部门取得的财政预算资金。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二、</w:t>
      </w:r>
      <w:r>
        <w:rPr>
          <w:rFonts w:hint="default" w:ascii="Times New Roman" w:hAnsi="Times New Roman" w:eastAsia="仿宋_GB2312" w:cs="Times New Roman"/>
          <w:b/>
          <w:bCs/>
          <w:color w:val="000000"/>
          <w:kern w:val="0"/>
          <w:sz w:val="32"/>
          <w:szCs w:val="32"/>
        </w:rPr>
        <w:t>事业收入：</w:t>
      </w:r>
      <w:r>
        <w:rPr>
          <w:rFonts w:hint="default" w:ascii="Times New Roman" w:hAnsi="Times New Roman" w:eastAsia="仿宋_GB2312" w:cs="Times New Roman"/>
          <w:bCs/>
          <w:color w:val="000000"/>
          <w:kern w:val="0"/>
          <w:sz w:val="32"/>
          <w:szCs w:val="32"/>
        </w:rPr>
        <w:t>指事业单位开展专业业务活动及辅助活动取得的收入。</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三、</w:t>
      </w:r>
      <w:r>
        <w:rPr>
          <w:rFonts w:hint="default" w:ascii="Times New Roman" w:hAnsi="Times New Roman" w:eastAsia="仿宋_GB2312" w:cs="Times New Roman"/>
          <w:b/>
          <w:bCs/>
          <w:color w:val="000000"/>
          <w:kern w:val="0"/>
          <w:sz w:val="32"/>
          <w:szCs w:val="32"/>
        </w:rPr>
        <w:t>经营收入：</w:t>
      </w:r>
      <w:r>
        <w:rPr>
          <w:rFonts w:hint="default" w:ascii="Times New Roman" w:hAnsi="Times New Roman" w:eastAsia="仿宋_GB2312" w:cs="Times New Roman"/>
          <w:bCs/>
          <w:color w:val="000000"/>
          <w:kern w:val="0"/>
          <w:sz w:val="32"/>
          <w:szCs w:val="32"/>
        </w:rPr>
        <w:t>指事业单位在专业业务活动及其辅助活动之外开展非独立核算经营活动取得的收入。</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四、</w:t>
      </w:r>
      <w:r>
        <w:rPr>
          <w:rFonts w:hint="default" w:ascii="Times New Roman" w:hAnsi="Times New Roman" w:eastAsia="仿宋_GB2312" w:cs="Times New Roman"/>
          <w:b/>
          <w:bCs/>
          <w:color w:val="000000"/>
          <w:kern w:val="0"/>
          <w:sz w:val="32"/>
          <w:szCs w:val="32"/>
        </w:rPr>
        <w:t>其他收入：</w:t>
      </w:r>
      <w:r>
        <w:rPr>
          <w:rFonts w:hint="default" w:ascii="Times New Roman" w:hAnsi="Times New Roman" w:eastAsia="仿宋_GB2312" w:cs="Times New Roman"/>
          <w:bCs/>
          <w:color w:val="000000"/>
          <w:kern w:val="0"/>
          <w:sz w:val="32"/>
          <w:szCs w:val="32"/>
        </w:rPr>
        <w:t>指单位取得的除上述收入以外的各项收</w:t>
      </w:r>
    </w:p>
    <w:p>
      <w:pPr>
        <w:spacing w:line="580" w:lineRule="exact"/>
        <w:rPr>
          <w:rFonts w:hint="default" w:ascii="Times New Roman" w:hAnsi="Times New Roman" w:eastAsia="仿宋_GB2312" w:cs="Times New Roman"/>
          <w:b/>
          <w:bCs/>
          <w:color w:val="000000"/>
          <w:kern w:val="0"/>
          <w:sz w:val="32"/>
          <w:szCs w:val="32"/>
        </w:rPr>
      </w:pPr>
      <w:r>
        <w:rPr>
          <w:rFonts w:hint="default" w:ascii="Times New Roman" w:hAnsi="Times New Roman" w:eastAsia="仿宋_GB2312" w:cs="Times New Roman"/>
          <w:bCs/>
          <w:color w:val="000000"/>
          <w:kern w:val="0"/>
          <w:sz w:val="32"/>
          <w:szCs w:val="32"/>
        </w:rPr>
        <w:t>入。主要是事业单位固定资产出租收入、存款利息收入等。</w:t>
      </w:r>
    </w:p>
    <w:p>
      <w:p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五、</w:t>
      </w:r>
      <w:r>
        <w:rPr>
          <w:rFonts w:hint="default" w:ascii="Times New Roman" w:hAnsi="Times New Roman" w:eastAsia="仿宋_GB2312" w:cs="Times New Roman"/>
          <w:b/>
          <w:bCs/>
          <w:color w:val="000000"/>
          <w:kern w:val="0"/>
          <w:sz w:val="32"/>
          <w:szCs w:val="32"/>
        </w:rPr>
        <w:t>使用非财政拨款结余（含专用结余）：</w:t>
      </w:r>
      <w:r>
        <w:rPr>
          <w:rFonts w:hint="default" w:ascii="Times New Roman" w:hAnsi="Times New Roman" w:eastAsia="仿宋_GB2312" w:cs="Times New Roman"/>
          <w:bCs/>
          <w:color w:val="000000"/>
          <w:kern w:val="0"/>
          <w:sz w:val="32"/>
          <w:szCs w:val="32"/>
        </w:rPr>
        <w:t>指事业单位按照预算管理要求使用非财政拨款结余弥补收支差额的金额，以及使用专用结余安排支出的金额。</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六、</w:t>
      </w:r>
      <w:r>
        <w:rPr>
          <w:rFonts w:hint="default" w:ascii="Times New Roman" w:hAnsi="Times New Roman" w:eastAsia="仿宋_GB2312" w:cs="Times New Roman"/>
          <w:b/>
          <w:bCs/>
          <w:color w:val="000000"/>
          <w:kern w:val="0"/>
          <w:sz w:val="32"/>
          <w:szCs w:val="32"/>
        </w:rPr>
        <w:t>年初结转和结余：</w:t>
      </w:r>
      <w:r>
        <w:rPr>
          <w:rFonts w:hint="default" w:ascii="Times New Roman" w:hAnsi="Times New Roman" w:eastAsia="仿宋_GB2312" w:cs="Times New Roman"/>
          <w:bCs/>
          <w:color w:val="000000"/>
          <w:kern w:val="0"/>
          <w:sz w:val="32"/>
          <w:szCs w:val="32"/>
        </w:rPr>
        <w:t>指单位以前年度尚未完成、结转到本年仍按原规定用途继续使用的资金，或项目已完成等产生的结余资金。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七、</w:t>
      </w:r>
      <w:r>
        <w:rPr>
          <w:rFonts w:hint="default" w:ascii="Times New Roman" w:hAnsi="Times New Roman" w:eastAsia="仿宋_GB2312" w:cs="Times New Roman"/>
          <w:b/>
          <w:bCs/>
          <w:color w:val="000000"/>
          <w:kern w:val="0"/>
          <w:sz w:val="32"/>
          <w:szCs w:val="32"/>
        </w:rPr>
        <w:t>结余分配：</w:t>
      </w:r>
      <w:r>
        <w:rPr>
          <w:rFonts w:hint="default" w:ascii="Times New Roman" w:hAnsi="Times New Roman" w:eastAsia="仿宋_GB2312" w:cs="Times New Roman"/>
          <w:bCs/>
          <w:color w:val="000000"/>
          <w:kern w:val="0"/>
          <w:sz w:val="32"/>
          <w:szCs w:val="32"/>
        </w:rPr>
        <w:t>指事业单位按照会计制度规定缴纳的所得税、提取的专用结余以及转入非财政拨款结余的金额等。</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八、</w:t>
      </w:r>
      <w:r>
        <w:rPr>
          <w:rFonts w:hint="default" w:ascii="Times New Roman" w:hAnsi="Times New Roman" w:eastAsia="仿宋_GB2312" w:cs="Times New Roman"/>
          <w:b/>
          <w:bCs/>
          <w:color w:val="000000"/>
          <w:kern w:val="0"/>
          <w:sz w:val="32"/>
          <w:szCs w:val="32"/>
        </w:rPr>
        <w:t>年末结转和结余：</w:t>
      </w:r>
      <w:r>
        <w:rPr>
          <w:rFonts w:hint="default" w:ascii="Times New Roman" w:hAnsi="Times New Roman" w:eastAsia="仿宋_GB2312" w:cs="Times New Roman"/>
          <w:bCs/>
          <w:color w:val="000000"/>
          <w:kern w:val="0"/>
          <w:sz w:val="32"/>
          <w:szCs w:val="32"/>
        </w:rPr>
        <w:t>指单位按有关规定结转到下年或以后年度继续使用的资金，或项目已完成等产生的结余资金。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九、</w:t>
      </w:r>
      <w:r>
        <w:rPr>
          <w:rFonts w:hint="default" w:ascii="Times New Roman" w:hAnsi="Times New Roman" w:eastAsia="仿宋_GB2312" w:cs="Times New Roman"/>
          <w:b/>
          <w:bCs/>
          <w:color w:val="000000"/>
          <w:kern w:val="0"/>
          <w:sz w:val="32"/>
          <w:szCs w:val="32"/>
        </w:rPr>
        <w:t>基本支出：</w:t>
      </w:r>
      <w:r>
        <w:rPr>
          <w:rFonts w:hint="default" w:ascii="Times New Roman" w:hAnsi="Times New Roman" w:eastAsia="仿宋_GB2312" w:cs="Times New Roman"/>
          <w:bCs/>
          <w:color w:val="000000"/>
          <w:kern w:val="0"/>
          <w:sz w:val="32"/>
          <w:szCs w:val="32"/>
        </w:rPr>
        <w:t>指为保障机构正常运转、完成日常工作任务而发生的人员支出和公用支出。</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w:t>
      </w:r>
      <w:r>
        <w:rPr>
          <w:rFonts w:hint="default" w:ascii="Times New Roman" w:hAnsi="Times New Roman" w:eastAsia="仿宋_GB2312" w:cs="Times New Roman"/>
          <w:b/>
          <w:bCs/>
          <w:color w:val="000000"/>
          <w:kern w:val="0"/>
          <w:sz w:val="32"/>
          <w:szCs w:val="32"/>
        </w:rPr>
        <w:t>项目支出：</w:t>
      </w:r>
      <w:r>
        <w:rPr>
          <w:rFonts w:hint="default" w:ascii="Times New Roman" w:hAnsi="Times New Roman" w:eastAsia="仿宋_GB2312" w:cs="Times New Roman"/>
          <w:color w:val="000000"/>
          <w:kern w:val="0"/>
          <w:sz w:val="32"/>
          <w:szCs w:val="32"/>
        </w:rPr>
        <w:t>指在基本支出之外为完成特定行政任务和事业发展目标所发生的支出。</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十一、</w:t>
      </w:r>
      <w:r>
        <w:rPr>
          <w:rFonts w:hint="default" w:ascii="Times New Roman" w:hAnsi="Times New Roman" w:eastAsia="仿宋_GB2312" w:cs="Times New Roman"/>
          <w:b/>
          <w:bCs/>
          <w:color w:val="000000"/>
          <w:kern w:val="0"/>
          <w:sz w:val="32"/>
          <w:szCs w:val="32"/>
        </w:rPr>
        <w:t>基本建设支出：</w:t>
      </w:r>
      <w:r>
        <w:rPr>
          <w:rFonts w:hint="default" w:ascii="Times New Roman" w:hAnsi="Times New Roman" w:eastAsia="仿宋_GB2312" w:cs="Times New Roman"/>
          <w:color w:val="000000"/>
          <w:kern w:val="0"/>
          <w:sz w:val="32"/>
          <w:szCs w:val="32"/>
        </w:rPr>
        <w:t>填列由本级发展与改革部门集中安排的用于购置固定资产、战略性和应急性储备、土地和无形资产，以及购建基础设施、大型修缮所发生的一般公共预算财政拨款支出，不包括政府性基金、财政专户管理资金以及各类拼盘自筹资金等。</w:t>
      </w:r>
    </w:p>
    <w:p>
      <w:pPr>
        <w:widowControl/>
        <w:spacing w:line="560" w:lineRule="exact"/>
        <w:ind w:firstLine="643" w:firstLineChars="200"/>
        <w:rPr>
          <w:rFonts w:hint="default" w:ascii="Times New Roman" w:hAnsi="Times New Roman" w:eastAsia="仿宋_GB2312" w:cs="Times New Roman"/>
          <w:b/>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十二、</w:t>
      </w:r>
      <w:r>
        <w:rPr>
          <w:rFonts w:hint="default" w:ascii="Times New Roman" w:hAnsi="Times New Roman" w:eastAsia="仿宋_GB2312" w:cs="Times New Roman"/>
          <w:b/>
          <w:bCs/>
          <w:color w:val="000000"/>
          <w:kern w:val="0"/>
          <w:sz w:val="32"/>
          <w:szCs w:val="32"/>
        </w:rPr>
        <w:t>其他资本性支出：</w:t>
      </w:r>
      <w:r>
        <w:rPr>
          <w:rFonts w:hint="default" w:ascii="Times New Roman" w:hAnsi="Times New Roman" w:eastAsia="仿宋_GB2312" w:cs="Times New Roman"/>
          <w:color w:val="000000"/>
          <w:kern w:val="0"/>
          <w:sz w:val="32"/>
          <w:szCs w:val="32"/>
        </w:rPr>
        <w:t>填列由各级非发展与改革部门集中安排的用于购置固定资产、战备性和应急性储备、土地和无形资产，以及购建基础设施、大型修缮和财政支持企业更新改造所发生的支出。</w:t>
      </w:r>
    </w:p>
    <w:p>
      <w:pPr>
        <w:snapToGrid w:val="0"/>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十三、</w:t>
      </w:r>
      <w:r>
        <w:rPr>
          <w:rFonts w:hint="default" w:ascii="Times New Roman" w:hAnsi="Times New Roman" w:eastAsia="仿宋_GB2312" w:cs="Times New Roman"/>
          <w:b/>
          <w:bCs/>
          <w:color w:val="000000"/>
          <w:kern w:val="0"/>
          <w:sz w:val="32"/>
          <w:szCs w:val="32"/>
        </w:rPr>
        <w:t>“三公”经费：</w:t>
      </w:r>
      <w:r>
        <w:rPr>
          <w:rFonts w:hint="default" w:ascii="Times New Roman" w:hAnsi="Times New Roman" w:eastAsia="仿宋_GB2312" w:cs="Times New Roman"/>
          <w:color w:val="000000"/>
          <w:kern w:val="0"/>
          <w:sz w:val="32"/>
          <w:szCs w:val="32"/>
        </w:rPr>
        <w:t>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购置支出（含车辆购置税、牌照费）及按规定保留的公务用车燃料费、维修费、过桥过路费、保险费、安全奖励费用等支出；公务接待费反映单位按规定开支的各类公务接待（含外宾接待）支出。</w:t>
      </w:r>
    </w:p>
    <w:p>
      <w:pPr>
        <w:snapToGrid w:val="0"/>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十四、</w:t>
      </w:r>
      <w:r>
        <w:rPr>
          <w:rFonts w:hint="default" w:ascii="Times New Roman" w:hAnsi="Times New Roman" w:eastAsia="仿宋_GB2312" w:cs="Times New Roman"/>
          <w:b/>
          <w:bCs/>
          <w:color w:val="000000"/>
          <w:kern w:val="0"/>
          <w:sz w:val="32"/>
          <w:szCs w:val="32"/>
        </w:rPr>
        <w:t>其他交通费用：</w:t>
      </w:r>
      <w:r>
        <w:rPr>
          <w:rFonts w:hint="default" w:ascii="Times New Roman" w:hAnsi="Times New Roman" w:eastAsia="仿宋_GB2312" w:cs="Times New Roman"/>
          <w:color w:val="000000"/>
          <w:kern w:val="0"/>
          <w:sz w:val="32"/>
          <w:szCs w:val="32"/>
        </w:rPr>
        <w:t>填列单位除公务用车运行维护费以外的其他交通费用。如公务交通补贴、租车费用、出租车费用，飞机、船舶等燃料费、维修费、保险费等。</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十五、</w:t>
      </w:r>
      <w:r>
        <w:rPr>
          <w:rFonts w:hint="default" w:ascii="Times New Roman" w:hAnsi="Times New Roman" w:eastAsia="仿宋_GB2312" w:cs="Times New Roman"/>
          <w:b/>
          <w:bCs/>
          <w:color w:val="000000"/>
          <w:kern w:val="0"/>
          <w:sz w:val="32"/>
          <w:szCs w:val="32"/>
        </w:rPr>
        <w:t>公务用车购置：</w:t>
      </w:r>
      <w:r>
        <w:rPr>
          <w:rFonts w:hint="default" w:ascii="Times New Roman" w:hAnsi="Times New Roman" w:eastAsia="仿宋_GB2312" w:cs="Times New Roman"/>
          <w:color w:val="000000"/>
          <w:kern w:val="0"/>
          <w:sz w:val="32"/>
          <w:szCs w:val="32"/>
        </w:rPr>
        <w:t>填列单位公务用车车辆购置支出（含车辆购置税、牌照费）。</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十六、</w:t>
      </w:r>
      <w:r>
        <w:rPr>
          <w:rFonts w:hint="default" w:ascii="Times New Roman" w:hAnsi="Times New Roman" w:eastAsia="仿宋_GB2312" w:cs="Times New Roman"/>
          <w:b/>
          <w:bCs/>
          <w:color w:val="000000"/>
          <w:kern w:val="0"/>
          <w:sz w:val="32"/>
          <w:szCs w:val="32"/>
        </w:rPr>
        <w:t>其他交通工具购置：</w:t>
      </w:r>
      <w:r>
        <w:rPr>
          <w:rFonts w:hint="default" w:ascii="Times New Roman" w:hAnsi="Times New Roman" w:eastAsia="仿宋_GB2312" w:cs="Times New Roman"/>
          <w:color w:val="000000"/>
          <w:kern w:val="0"/>
          <w:sz w:val="32"/>
          <w:szCs w:val="32"/>
        </w:rPr>
        <w:t>填列单位除公务用车外的其他各类交通工具（如船舶、飞机等）购置支出（含车辆购置税、牌照费）。</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rPr>
        <w:t>十</w:t>
      </w:r>
      <w:r>
        <w:rPr>
          <w:rFonts w:hint="default" w:ascii="Times New Roman" w:hAnsi="Times New Roman" w:eastAsia="仿宋_GB2312" w:cs="Times New Roman"/>
          <w:b/>
          <w:bCs/>
          <w:color w:val="000000"/>
          <w:kern w:val="0"/>
          <w:sz w:val="32"/>
          <w:szCs w:val="32"/>
          <w:lang w:eastAsia="zh-CN"/>
        </w:rPr>
        <w:t>七</w:t>
      </w:r>
      <w:r>
        <w:rPr>
          <w:rFonts w:hint="default" w:ascii="Times New Roman" w:hAnsi="Times New Roman" w:eastAsia="仿宋_GB2312" w:cs="Times New Roman"/>
          <w:b/>
          <w:bCs/>
          <w:color w:val="000000"/>
          <w:kern w:val="0"/>
          <w:sz w:val="32"/>
          <w:szCs w:val="32"/>
        </w:rPr>
        <w:t>、机关运行经费：</w:t>
      </w:r>
      <w:r>
        <w:rPr>
          <w:rFonts w:hint="default" w:ascii="Times New Roman" w:hAnsi="Times New Roman" w:eastAsia="仿宋_GB2312" w:cs="Times New Roman"/>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pPr>
        <w:tabs>
          <w:tab w:val="left" w:pos="235"/>
        </w:tabs>
        <w:ind w:firstLine="643" w:firstLineChars="200"/>
        <w:jc w:val="left"/>
        <w:rPr>
          <w:rFonts w:hint="default" w:ascii="Times New Roman" w:hAnsi="Times New Roman" w:eastAsia="仿宋_GB2312" w:cs="Times New Roman"/>
          <w:kern w:val="0"/>
          <w:sz w:val="32"/>
          <w:szCs w:val="32"/>
          <w:lang w:eastAsia="zh-CN"/>
        </w:rPr>
      </w:pPr>
      <w:r>
        <w:rPr>
          <w:rFonts w:hint="default" w:ascii="Times New Roman" w:hAnsi="Times New Roman" w:eastAsia="仿宋_GB2312" w:cs="Times New Roman"/>
          <w:b/>
          <w:bCs/>
          <w:color w:val="000000"/>
          <w:kern w:val="0"/>
          <w:sz w:val="32"/>
          <w:szCs w:val="32"/>
          <w:lang w:eastAsia="zh-CN"/>
        </w:rPr>
        <w:t>十八</w:t>
      </w:r>
      <w:r>
        <w:rPr>
          <w:rFonts w:hint="default" w:ascii="Times New Roman" w:hAnsi="Times New Roman" w:eastAsia="仿宋_GB2312" w:cs="Times New Roman"/>
          <w:b/>
          <w:bCs/>
          <w:color w:val="000000"/>
          <w:kern w:val="0"/>
          <w:sz w:val="32"/>
          <w:szCs w:val="32"/>
        </w:rPr>
        <w:t>、经费形式:</w:t>
      </w:r>
      <w:r>
        <w:rPr>
          <w:rFonts w:hint="default" w:ascii="Times New Roman" w:hAnsi="Times New Roman" w:eastAsia="仿宋_GB2312" w:cs="Times New Roman"/>
          <w:color w:val="000000"/>
          <w:kern w:val="0"/>
          <w:sz w:val="32"/>
          <w:szCs w:val="32"/>
        </w:rPr>
        <w:t>按照经费来源，</w:t>
      </w:r>
      <w:r>
        <w:rPr>
          <w:rFonts w:hint="default" w:ascii="Times New Roman" w:hAnsi="Times New Roman" w:eastAsia="仿宋_GB2312" w:cs="Times New Roman"/>
          <w:kern w:val="0"/>
          <w:sz w:val="32"/>
          <w:szCs w:val="32"/>
        </w:rPr>
        <w:t>可分为财政拨款、财政性资金基本保证、财政性资金定额或定项补助、财政性资金零补助四类</w:t>
      </w:r>
      <w:r>
        <w:rPr>
          <w:rFonts w:hint="default" w:ascii="Times New Roman" w:hAnsi="Times New Roman" w:eastAsia="仿宋_GB2312" w:cs="Times New Roman"/>
          <w:kern w:val="0"/>
          <w:sz w:val="32"/>
          <w:szCs w:val="32"/>
          <w:lang w:eastAsia="zh-CN"/>
        </w:rPr>
        <w:t>。</w:t>
      </w:r>
    </w:p>
    <w:p>
      <w:pPr>
        <w:rPr>
          <w:rFonts w:hint="default" w:ascii="Times New Roman" w:hAnsi="Times New Roman" w:cs="Times New Roman"/>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default" w:ascii="Times New Roman" w:hAnsi="Times New Roman" w:eastAsia="仿宋_GB2312" w:cs="Times New Roman"/>
          <w:i w:val="0"/>
          <w:iCs w:val="0"/>
          <w:caps w:val="0"/>
          <w:color w:val="333333"/>
          <w:spacing w:val="0"/>
          <w:sz w:val="33"/>
          <w:szCs w:val="33"/>
          <w:highlight w:val="none"/>
          <w:shd w:val="clear" w:fill="FFFFFF"/>
        </w:rPr>
      </w:pPr>
    </w:p>
    <w:p>
      <w:pP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pPr>
    </w:p>
    <w:sectPr>
      <w:pgSz w:w="11906" w:h="16838"/>
      <w:pgMar w:top="1984" w:right="1587" w:bottom="1701" w:left="1587"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2C279DCC-ACA9-4978-8AFA-920C6BABA018}"/>
  </w:font>
  <w:font w:name="黑体">
    <w:panose1 w:val="02010609060101010101"/>
    <w:charset w:val="86"/>
    <w:family w:val="auto"/>
    <w:pitch w:val="default"/>
    <w:sig w:usb0="800002BF" w:usb1="38CF7CFA" w:usb2="00000016" w:usb3="00000000" w:csb0="00040001" w:csb1="00000000"/>
    <w:embedRegular r:id="rId2" w:fontKey="{6960605C-3465-44C0-8753-C6511B1F735E}"/>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embedRegular r:id="rId3" w:fontKey="{49EF5D3C-ED48-4750-8254-D8F67C53D639}"/>
  </w:font>
  <w:font w:name="Calibri Light">
    <w:panose1 w:val="020F0302020204030204"/>
    <w:charset w:val="00"/>
    <w:family w:val="auto"/>
    <w:pitch w:val="default"/>
    <w:sig w:usb0="A00002EF" w:usb1="4000207B" w:usb2="00000000" w:usb3="00000000" w:csb0="2000019F" w:csb1="00000000"/>
  </w:font>
  <w:font w:name="华文中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80F3C52" w:usb2="00000016" w:usb3="00000000" w:csb0="0004001F" w:csb1="00000000"/>
    <w:embedRegular r:id="rId4" w:fontKey="{13EB9EE5-85A2-4A2E-9E2C-481FE04B3BA2}"/>
  </w:font>
  <w:font w:name="思源黑体 CN Heavy">
    <w:altName w:val="黑体"/>
    <w:panose1 w:val="00000000000000000000"/>
    <w:charset w:val="86"/>
    <w:family w:val="swiss"/>
    <w:pitch w:val="default"/>
    <w:sig w:usb0="00000000" w:usb1="00000000" w:usb2="00000016" w:usb3="00000000" w:csb0="00060107" w:csb1="00000000"/>
    <w:embedRegular r:id="rId5" w:fontKey="{2B73081B-852D-4811-AF4A-A7C074FF9BC9}"/>
  </w:font>
  <w:font w:name="楷体_GB2312">
    <w:panose1 w:val="02010609030101010101"/>
    <w:charset w:val="86"/>
    <w:family w:val="auto"/>
    <w:pitch w:val="default"/>
    <w:sig w:usb0="00000001" w:usb1="080E0000" w:usb2="00000000" w:usb3="00000000" w:csb0="00040000" w:csb1="00000000"/>
    <w:embedRegular r:id="rId6" w:fontKey="{F443BA4A-4113-48C8-882A-0DBE68594560}"/>
  </w:font>
  <w:font w:name="仿宋_GB2312">
    <w:panose1 w:val="02010609030101010101"/>
    <w:charset w:val="86"/>
    <w:family w:val="auto"/>
    <w:pitch w:val="default"/>
    <w:sig w:usb0="00000001" w:usb1="080E0000" w:usb2="00000000" w:usb3="00000000" w:csb0="00040000" w:csb1="00000000"/>
    <w:embedRegular r:id="rId7" w:fontKey="{ECEB4EC6-937F-4D53-A076-875E36F4063B}"/>
  </w:font>
  <w:font w:name="方正仿宋_GB2312">
    <w:altName w:val="仿宋"/>
    <w:panose1 w:val="02000000000000000000"/>
    <w:charset w:val="86"/>
    <w:family w:val="auto"/>
    <w:pitch w:val="default"/>
    <w:sig w:usb0="00000000" w:usb1="00000000" w:usb2="00000012" w:usb3="00000000" w:csb0="00040001" w:csb1="00000000"/>
    <w:embedRegular r:id="rId8" w:fontKey="{24E91B80-CA5E-4811-A8BA-F878434B1B0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p>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5EE0121"/>
    <w:multiLevelType w:val="singleLevel"/>
    <w:tmpl w:val="A5EE0121"/>
    <w:lvl w:ilvl="0" w:tentative="0">
      <w:start w:val="1"/>
      <w:numFmt w:val="decimal"/>
      <w:suff w:val="space"/>
      <w:lvlText w:val="%1."/>
      <w:lvlJc w:val="left"/>
    </w:lvl>
  </w:abstractNum>
  <w:abstractNum w:abstractNumId="1">
    <w:nsid w:val="5F16A424"/>
    <w:multiLevelType w:val="multilevel"/>
    <w:tmpl w:val="5F16A424"/>
    <w:lvl w:ilvl="0" w:tentative="0">
      <w:start w:val="1"/>
      <w:numFmt w:val="decimal"/>
      <w:pStyle w:val="3"/>
      <w:lvlText w:val="%1."/>
      <w:lvlJc w:val="left"/>
      <w:pPr>
        <w:ind w:left="425" w:hanging="425"/>
      </w:pPr>
      <w:rPr>
        <w:rFonts w:hint="default"/>
      </w:rPr>
    </w:lvl>
    <w:lvl w:ilvl="1" w:tentative="0">
      <w:start w:val="1"/>
      <w:numFmt w:val="decimal"/>
      <w:pStyle w:val="4"/>
      <w:lvlText w:val="%1.%2."/>
      <w:lvlJc w:val="left"/>
      <w:pPr>
        <w:ind w:left="567" w:hanging="567"/>
      </w:pPr>
      <w:rPr>
        <w:rFonts w:hint="default"/>
      </w:rPr>
    </w:lvl>
    <w:lvl w:ilvl="2" w:tentative="0">
      <w:start w:val="1"/>
      <w:numFmt w:val="decimal"/>
      <w:pStyle w:val="5"/>
      <w:lvlText w:val="%1.%2.%3."/>
      <w:lvlJc w:val="left"/>
      <w:pPr>
        <w:ind w:left="709" w:hanging="709"/>
      </w:pPr>
      <w:rPr>
        <w:rFonts w:hint="default"/>
      </w:rPr>
    </w:lvl>
    <w:lvl w:ilvl="3" w:tentative="0">
      <w:start w:val="1"/>
      <w:numFmt w:val="decimal"/>
      <w:pStyle w:val="6"/>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jb3VudCI6ODAsImhkaWQiOiI5YzhjNGM5NzcyYWIwNzE4MTgwZjY0OTY1NTlhZWY3ZiIsInVzZXJDb3VudCI6MTF9"/>
  </w:docVars>
  <w:rsids>
    <w:rsidRoot w:val="00000000"/>
    <w:rsid w:val="00086151"/>
    <w:rsid w:val="00236F8C"/>
    <w:rsid w:val="00822154"/>
    <w:rsid w:val="00C65689"/>
    <w:rsid w:val="00CC2C8E"/>
    <w:rsid w:val="01A03C5A"/>
    <w:rsid w:val="01A5267D"/>
    <w:rsid w:val="01AF6A8D"/>
    <w:rsid w:val="024808A2"/>
    <w:rsid w:val="025C3821"/>
    <w:rsid w:val="02DA3B1B"/>
    <w:rsid w:val="02E57B4D"/>
    <w:rsid w:val="03450B90"/>
    <w:rsid w:val="037B12D4"/>
    <w:rsid w:val="03804D63"/>
    <w:rsid w:val="03FB73B0"/>
    <w:rsid w:val="049C1B9D"/>
    <w:rsid w:val="04BD008C"/>
    <w:rsid w:val="04C55939"/>
    <w:rsid w:val="04DA28BB"/>
    <w:rsid w:val="04F528BE"/>
    <w:rsid w:val="050E10CE"/>
    <w:rsid w:val="054F2DFB"/>
    <w:rsid w:val="05991C82"/>
    <w:rsid w:val="061416A9"/>
    <w:rsid w:val="061D60A6"/>
    <w:rsid w:val="06236884"/>
    <w:rsid w:val="06B07006"/>
    <w:rsid w:val="06FC7C2A"/>
    <w:rsid w:val="07533AFE"/>
    <w:rsid w:val="07B3657A"/>
    <w:rsid w:val="07C857D0"/>
    <w:rsid w:val="08AB5AAF"/>
    <w:rsid w:val="09012C64"/>
    <w:rsid w:val="09232087"/>
    <w:rsid w:val="093B2E99"/>
    <w:rsid w:val="095D7943"/>
    <w:rsid w:val="09C006C6"/>
    <w:rsid w:val="0A10621F"/>
    <w:rsid w:val="0A464C4F"/>
    <w:rsid w:val="0A6729A3"/>
    <w:rsid w:val="0A694877"/>
    <w:rsid w:val="0AA954BE"/>
    <w:rsid w:val="0AE70639"/>
    <w:rsid w:val="0B4F5E6D"/>
    <w:rsid w:val="0B753AE2"/>
    <w:rsid w:val="0BB67D0A"/>
    <w:rsid w:val="0BC56230"/>
    <w:rsid w:val="0BCF21BD"/>
    <w:rsid w:val="0C4E53E8"/>
    <w:rsid w:val="0C6712D6"/>
    <w:rsid w:val="0C9F7900"/>
    <w:rsid w:val="0CB23317"/>
    <w:rsid w:val="0D101068"/>
    <w:rsid w:val="0D4E13BE"/>
    <w:rsid w:val="0D7557DF"/>
    <w:rsid w:val="0D853E34"/>
    <w:rsid w:val="0D9C2A57"/>
    <w:rsid w:val="0DFA5D82"/>
    <w:rsid w:val="0E1E52CE"/>
    <w:rsid w:val="0E866524"/>
    <w:rsid w:val="0E9268D3"/>
    <w:rsid w:val="0E957F1F"/>
    <w:rsid w:val="0F0E7284"/>
    <w:rsid w:val="0F28110F"/>
    <w:rsid w:val="0F37083F"/>
    <w:rsid w:val="0F891DB8"/>
    <w:rsid w:val="0FAA3B86"/>
    <w:rsid w:val="10191346"/>
    <w:rsid w:val="102A01A6"/>
    <w:rsid w:val="10754A6C"/>
    <w:rsid w:val="108B537D"/>
    <w:rsid w:val="10B11DB1"/>
    <w:rsid w:val="11177F57"/>
    <w:rsid w:val="11217C97"/>
    <w:rsid w:val="11464C20"/>
    <w:rsid w:val="115E4926"/>
    <w:rsid w:val="118A1FFA"/>
    <w:rsid w:val="11E35B5A"/>
    <w:rsid w:val="11E42DD6"/>
    <w:rsid w:val="125F5A1B"/>
    <w:rsid w:val="126979D6"/>
    <w:rsid w:val="129E45A7"/>
    <w:rsid w:val="13074404"/>
    <w:rsid w:val="136A5C00"/>
    <w:rsid w:val="13B97B08"/>
    <w:rsid w:val="13C527AC"/>
    <w:rsid w:val="14711797"/>
    <w:rsid w:val="147B6F17"/>
    <w:rsid w:val="14D42061"/>
    <w:rsid w:val="15081C8B"/>
    <w:rsid w:val="15090D5C"/>
    <w:rsid w:val="15CF053D"/>
    <w:rsid w:val="15E0131A"/>
    <w:rsid w:val="16457D9F"/>
    <w:rsid w:val="17223EFF"/>
    <w:rsid w:val="17AA5F28"/>
    <w:rsid w:val="17B713F6"/>
    <w:rsid w:val="184350A0"/>
    <w:rsid w:val="18935485"/>
    <w:rsid w:val="18A34206"/>
    <w:rsid w:val="18DE3B2C"/>
    <w:rsid w:val="1906685D"/>
    <w:rsid w:val="19111683"/>
    <w:rsid w:val="19353916"/>
    <w:rsid w:val="193E101D"/>
    <w:rsid w:val="19C10AF1"/>
    <w:rsid w:val="1A017CDA"/>
    <w:rsid w:val="1A2672DE"/>
    <w:rsid w:val="1AA81D42"/>
    <w:rsid w:val="1AB433D9"/>
    <w:rsid w:val="1AFB6D70"/>
    <w:rsid w:val="1B1B11EE"/>
    <w:rsid w:val="1B3719E0"/>
    <w:rsid w:val="1B6261C3"/>
    <w:rsid w:val="1B731730"/>
    <w:rsid w:val="1B882BB5"/>
    <w:rsid w:val="1B9B33C7"/>
    <w:rsid w:val="1B9D7FEC"/>
    <w:rsid w:val="1BA55461"/>
    <w:rsid w:val="1BE74496"/>
    <w:rsid w:val="1C3D67D1"/>
    <w:rsid w:val="1C40731A"/>
    <w:rsid w:val="1C506572"/>
    <w:rsid w:val="1C560392"/>
    <w:rsid w:val="1C581532"/>
    <w:rsid w:val="1CA15E03"/>
    <w:rsid w:val="1CA24F0C"/>
    <w:rsid w:val="1CF8716C"/>
    <w:rsid w:val="1D1E545A"/>
    <w:rsid w:val="1D4B1F5B"/>
    <w:rsid w:val="1D6C5CA0"/>
    <w:rsid w:val="1D725586"/>
    <w:rsid w:val="1D745B4F"/>
    <w:rsid w:val="1D867987"/>
    <w:rsid w:val="1D944010"/>
    <w:rsid w:val="1DD70E85"/>
    <w:rsid w:val="1DE74AD7"/>
    <w:rsid w:val="1DF60A19"/>
    <w:rsid w:val="1DFA6713"/>
    <w:rsid w:val="1E050843"/>
    <w:rsid w:val="1E2D3FB0"/>
    <w:rsid w:val="1E2E50F1"/>
    <w:rsid w:val="1E3B4E26"/>
    <w:rsid w:val="1EC31F23"/>
    <w:rsid w:val="1EDF707D"/>
    <w:rsid w:val="1F394761"/>
    <w:rsid w:val="1F65664C"/>
    <w:rsid w:val="1F7C149A"/>
    <w:rsid w:val="1F84140D"/>
    <w:rsid w:val="1F9B7FFD"/>
    <w:rsid w:val="1F9C7614"/>
    <w:rsid w:val="1FBE1971"/>
    <w:rsid w:val="2008768D"/>
    <w:rsid w:val="204B327F"/>
    <w:rsid w:val="204C2B10"/>
    <w:rsid w:val="207D30AD"/>
    <w:rsid w:val="209064B9"/>
    <w:rsid w:val="20970D81"/>
    <w:rsid w:val="20D165D5"/>
    <w:rsid w:val="20F24255"/>
    <w:rsid w:val="210878E6"/>
    <w:rsid w:val="210E1408"/>
    <w:rsid w:val="211069AD"/>
    <w:rsid w:val="21573FAB"/>
    <w:rsid w:val="2172069C"/>
    <w:rsid w:val="21987BC4"/>
    <w:rsid w:val="21BE314A"/>
    <w:rsid w:val="220451AB"/>
    <w:rsid w:val="2237486E"/>
    <w:rsid w:val="223D1378"/>
    <w:rsid w:val="22451BC7"/>
    <w:rsid w:val="22940650"/>
    <w:rsid w:val="22AD4B1E"/>
    <w:rsid w:val="22D31DF3"/>
    <w:rsid w:val="22FD3CF7"/>
    <w:rsid w:val="232C221B"/>
    <w:rsid w:val="2356249E"/>
    <w:rsid w:val="236E713A"/>
    <w:rsid w:val="23700968"/>
    <w:rsid w:val="238761A6"/>
    <w:rsid w:val="23920578"/>
    <w:rsid w:val="23BB6F9A"/>
    <w:rsid w:val="23FC3864"/>
    <w:rsid w:val="24857B00"/>
    <w:rsid w:val="24F25212"/>
    <w:rsid w:val="251B0465"/>
    <w:rsid w:val="254B0AC6"/>
    <w:rsid w:val="25571AB6"/>
    <w:rsid w:val="25B40AD6"/>
    <w:rsid w:val="25BE7872"/>
    <w:rsid w:val="25BF702A"/>
    <w:rsid w:val="264D2D17"/>
    <w:rsid w:val="26D50E55"/>
    <w:rsid w:val="271A539C"/>
    <w:rsid w:val="274972D4"/>
    <w:rsid w:val="27AA3D97"/>
    <w:rsid w:val="280A3758"/>
    <w:rsid w:val="289057C5"/>
    <w:rsid w:val="28A67C7A"/>
    <w:rsid w:val="28EA3248"/>
    <w:rsid w:val="28F879DA"/>
    <w:rsid w:val="294B7731"/>
    <w:rsid w:val="29514455"/>
    <w:rsid w:val="29D21FF2"/>
    <w:rsid w:val="2A611B0F"/>
    <w:rsid w:val="2AC1762B"/>
    <w:rsid w:val="2AE845D0"/>
    <w:rsid w:val="2B4975FB"/>
    <w:rsid w:val="2B695031"/>
    <w:rsid w:val="2B735A8F"/>
    <w:rsid w:val="2BA7478D"/>
    <w:rsid w:val="2BB038DB"/>
    <w:rsid w:val="2BB761E0"/>
    <w:rsid w:val="2BB812F9"/>
    <w:rsid w:val="2BE35C27"/>
    <w:rsid w:val="2BFA504B"/>
    <w:rsid w:val="2C681F1F"/>
    <w:rsid w:val="2C8608DC"/>
    <w:rsid w:val="2CA4764A"/>
    <w:rsid w:val="2CC42ECA"/>
    <w:rsid w:val="2CDA4349"/>
    <w:rsid w:val="2D225539"/>
    <w:rsid w:val="2D4618D2"/>
    <w:rsid w:val="2D5F021B"/>
    <w:rsid w:val="2D6E1286"/>
    <w:rsid w:val="2D70583E"/>
    <w:rsid w:val="2E0725DC"/>
    <w:rsid w:val="2E1B4BB8"/>
    <w:rsid w:val="2E256CB6"/>
    <w:rsid w:val="2E5F27E4"/>
    <w:rsid w:val="2EBD223E"/>
    <w:rsid w:val="2EC10AD1"/>
    <w:rsid w:val="2ECB6A5A"/>
    <w:rsid w:val="2EFC0112"/>
    <w:rsid w:val="2F2B730D"/>
    <w:rsid w:val="2F9F3DC1"/>
    <w:rsid w:val="2FFC7AC2"/>
    <w:rsid w:val="301430AF"/>
    <w:rsid w:val="30630612"/>
    <w:rsid w:val="308E59B0"/>
    <w:rsid w:val="30B10568"/>
    <w:rsid w:val="30E55DD3"/>
    <w:rsid w:val="30E60399"/>
    <w:rsid w:val="31356AA5"/>
    <w:rsid w:val="313E22F0"/>
    <w:rsid w:val="31A70C27"/>
    <w:rsid w:val="31B0194C"/>
    <w:rsid w:val="31CE17D1"/>
    <w:rsid w:val="32270449"/>
    <w:rsid w:val="323E4515"/>
    <w:rsid w:val="3286389B"/>
    <w:rsid w:val="32CF5C94"/>
    <w:rsid w:val="32D337C7"/>
    <w:rsid w:val="32E200EC"/>
    <w:rsid w:val="32E5408B"/>
    <w:rsid w:val="32EB0D70"/>
    <w:rsid w:val="33077506"/>
    <w:rsid w:val="332868BB"/>
    <w:rsid w:val="333211F3"/>
    <w:rsid w:val="33504B41"/>
    <w:rsid w:val="338B4A07"/>
    <w:rsid w:val="33944811"/>
    <w:rsid w:val="33CE0488"/>
    <w:rsid w:val="34262463"/>
    <w:rsid w:val="34296F31"/>
    <w:rsid w:val="34340A27"/>
    <w:rsid w:val="346A2989"/>
    <w:rsid w:val="348865E9"/>
    <w:rsid w:val="348F70D5"/>
    <w:rsid w:val="349D2BAD"/>
    <w:rsid w:val="34B25886"/>
    <w:rsid w:val="35277FF8"/>
    <w:rsid w:val="35763460"/>
    <w:rsid w:val="35776F72"/>
    <w:rsid w:val="35997371"/>
    <w:rsid w:val="35DD4D47"/>
    <w:rsid w:val="360134DF"/>
    <w:rsid w:val="360B1E2F"/>
    <w:rsid w:val="360D500F"/>
    <w:rsid w:val="36330424"/>
    <w:rsid w:val="36FE3ABA"/>
    <w:rsid w:val="37072BDE"/>
    <w:rsid w:val="37455334"/>
    <w:rsid w:val="37731921"/>
    <w:rsid w:val="37E509C0"/>
    <w:rsid w:val="37E96FB8"/>
    <w:rsid w:val="38222D85"/>
    <w:rsid w:val="38803721"/>
    <w:rsid w:val="38925A62"/>
    <w:rsid w:val="389F5F4F"/>
    <w:rsid w:val="38C36BA2"/>
    <w:rsid w:val="38F6595C"/>
    <w:rsid w:val="391702A7"/>
    <w:rsid w:val="39286EB6"/>
    <w:rsid w:val="39601DF4"/>
    <w:rsid w:val="396960F3"/>
    <w:rsid w:val="39840D35"/>
    <w:rsid w:val="39A97DAF"/>
    <w:rsid w:val="39CD1330"/>
    <w:rsid w:val="39DD1AFF"/>
    <w:rsid w:val="3A2510B9"/>
    <w:rsid w:val="3A2B1DFC"/>
    <w:rsid w:val="3AA6422C"/>
    <w:rsid w:val="3AAF46D5"/>
    <w:rsid w:val="3AF562AE"/>
    <w:rsid w:val="3B135A0E"/>
    <w:rsid w:val="3B272BBC"/>
    <w:rsid w:val="3B341363"/>
    <w:rsid w:val="3B374FEE"/>
    <w:rsid w:val="3B4410EE"/>
    <w:rsid w:val="3B56159C"/>
    <w:rsid w:val="3B596DF7"/>
    <w:rsid w:val="3B7D732B"/>
    <w:rsid w:val="3BD30423"/>
    <w:rsid w:val="3C6C0B58"/>
    <w:rsid w:val="3CBE41D5"/>
    <w:rsid w:val="3D446B0E"/>
    <w:rsid w:val="3D953A6B"/>
    <w:rsid w:val="3DBB5979"/>
    <w:rsid w:val="3DD56F21"/>
    <w:rsid w:val="3E1057AF"/>
    <w:rsid w:val="3E6C0DFA"/>
    <w:rsid w:val="3E740322"/>
    <w:rsid w:val="3E7F4380"/>
    <w:rsid w:val="3E8D171B"/>
    <w:rsid w:val="3EA5630D"/>
    <w:rsid w:val="3EBA731B"/>
    <w:rsid w:val="3EE33949"/>
    <w:rsid w:val="3EFB5800"/>
    <w:rsid w:val="3F3B4E59"/>
    <w:rsid w:val="3F6E677C"/>
    <w:rsid w:val="3F712F46"/>
    <w:rsid w:val="3FBC0EF7"/>
    <w:rsid w:val="3FCD2AB9"/>
    <w:rsid w:val="3FD17600"/>
    <w:rsid w:val="4050218A"/>
    <w:rsid w:val="405C7868"/>
    <w:rsid w:val="408B24EB"/>
    <w:rsid w:val="408D1DBF"/>
    <w:rsid w:val="40C652D1"/>
    <w:rsid w:val="417044B8"/>
    <w:rsid w:val="41A203A0"/>
    <w:rsid w:val="41C77987"/>
    <w:rsid w:val="41E83F8C"/>
    <w:rsid w:val="422D1842"/>
    <w:rsid w:val="425B7C31"/>
    <w:rsid w:val="427D66D0"/>
    <w:rsid w:val="42BC7E02"/>
    <w:rsid w:val="42C82575"/>
    <w:rsid w:val="43022EE1"/>
    <w:rsid w:val="431A5F8F"/>
    <w:rsid w:val="431F247A"/>
    <w:rsid w:val="43335E8F"/>
    <w:rsid w:val="433F2968"/>
    <w:rsid w:val="43655F7F"/>
    <w:rsid w:val="43676E20"/>
    <w:rsid w:val="43A31040"/>
    <w:rsid w:val="43BF774E"/>
    <w:rsid w:val="43CD062F"/>
    <w:rsid w:val="43E214F9"/>
    <w:rsid w:val="43F06264"/>
    <w:rsid w:val="44404C8E"/>
    <w:rsid w:val="447537F1"/>
    <w:rsid w:val="44870D07"/>
    <w:rsid w:val="45344EFF"/>
    <w:rsid w:val="45513D03"/>
    <w:rsid w:val="45541E1C"/>
    <w:rsid w:val="45FE7734"/>
    <w:rsid w:val="461F0A8B"/>
    <w:rsid w:val="4648721E"/>
    <w:rsid w:val="46663E71"/>
    <w:rsid w:val="466A37AC"/>
    <w:rsid w:val="46CB071B"/>
    <w:rsid w:val="46DE140B"/>
    <w:rsid w:val="46E77334"/>
    <w:rsid w:val="46F22E29"/>
    <w:rsid w:val="46F7142F"/>
    <w:rsid w:val="47107AE3"/>
    <w:rsid w:val="473C62ED"/>
    <w:rsid w:val="47617242"/>
    <w:rsid w:val="478C16C9"/>
    <w:rsid w:val="47BD246B"/>
    <w:rsid w:val="47CB2B0C"/>
    <w:rsid w:val="47E773CE"/>
    <w:rsid w:val="47EE2C9A"/>
    <w:rsid w:val="47F00499"/>
    <w:rsid w:val="48015FF5"/>
    <w:rsid w:val="483820D2"/>
    <w:rsid w:val="48692CD0"/>
    <w:rsid w:val="48AE3D01"/>
    <w:rsid w:val="49067B2F"/>
    <w:rsid w:val="49677E31"/>
    <w:rsid w:val="496C2225"/>
    <w:rsid w:val="49AE2880"/>
    <w:rsid w:val="49F42EAF"/>
    <w:rsid w:val="4A337323"/>
    <w:rsid w:val="4A5B28DC"/>
    <w:rsid w:val="4AA06B93"/>
    <w:rsid w:val="4ADB18EB"/>
    <w:rsid w:val="4B96118E"/>
    <w:rsid w:val="4BAE1B66"/>
    <w:rsid w:val="4BED4708"/>
    <w:rsid w:val="4BF133DC"/>
    <w:rsid w:val="4C507D4A"/>
    <w:rsid w:val="4CDF5563"/>
    <w:rsid w:val="4CFB2214"/>
    <w:rsid w:val="4D2C4D26"/>
    <w:rsid w:val="4D335E0E"/>
    <w:rsid w:val="4D4E4EA3"/>
    <w:rsid w:val="4D9A5B1B"/>
    <w:rsid w:val="4DA55D85"/>
    <w:rsid w:val="4DBB20DB"/>
    <w:rsid w:val="4DDC3F22"/>
    <w:rsid w:val="4DE66FB2"/>
    <w:rsid w:val="4E1040C7"/>
    <w:rsid w:val="4E1760BF"/>
    <w:rsid w:val="4E30647F"/>
    <w:rsid w:val="4EBA03C3"/>
    <w:rsid w:val="4EBC5459"/>
    <w:rsid w:val="4ED94CB0"/>
    <w:rsid w:val="4EEC2ED3"/>
    <w:rsid w:val="4F0E56EA"/>
    <w:rsid w:val="4F2E11BC"/>
    <w:rsid w:val="4F3C4343"/>
    <w:rsid w:val="4F416688"/>
    <w:rsid w:val="4F5620B0"/>
    <w:rsid w:val="4F616EB4"/>
    <w:rsid w:val="4F6654EE"/>
    <w:rsid w:val="4F7379C6"/>
    <w:rsid w:val="4F872BDB"/>
    <w:rsid w:val="4FA033E9"/>
    <w:rsid w:val="4FA743DA"/>
    <w:rsid w:val="4FB3565A"/>
    <w:rsid w:val="503D1C79"/>
    <w:rsid w:val="507A6406"/>
    <w:rsid w:val="50853863"/>
    <w:rsid w:val="508A4590"/>
    <w:rsid w:val="50F1461D"/>
    <w:rsid w:val="50FE5411"/>
    <w:rsid w:val="510B072E"/>
    <w:rsid w:val="511B0BF4"/>
    <w:rsid w:val="51264306"/>
    <w:rsid w:val="516123CE"/>
    <w:rsid w:val="51932FAD"/>
    <w:rsid w:val="51B177A9"/>
    <w:rsid w:val="51E066EB"/>
    <w:rsid w:val="52640E8B"/>
    <w:rsid w:val="5267570A"/>
    <w:rsid w:val="52707792"/>
    <w:rsid w:val="52A12CDC"/>
    <w:rsid w:val="52DF0C92"/>
    <w:rsid w:val="52E1159C"/>
    <w:rsid w:val="52E34D6A"/>
    <w:rsid w:val="531E524E"/>
    <w:rsid w:val="534072EB"/>
    <w:rsid w:val="537648BE"/>
    <w:rsid w:val="538E2D0B"/>
    <w:rsid w:val="53922782"/>
    <w:rsid w:val="539C1424"/>
    <w:rsid w:val="53A639C0"/>
    <w:rsid w:val="53F00A24"/>
    <w:rsid w:val="53F63DBA"/>
    <w:rsid w:val="5448624E"/>
    <w:rsid w:val="546E2B1A"/>
    <w:rsid w:val="5482555F"/>
    <w:rsid w:val="54AA6F8B"/>
    <w:rsid w:val="54D26583"/>
    <w:rsid w:val="55363E67"/>
    <w:rsid w:val="556E6DF7"/>
    <w:rsid w:val="55965CE3"/>
    <w:rsid w:val="559D47CE"/>
    <w:rsid w:val="55BE1959"/>
    <w:rsid w:val="56232437"/>
    <w:rsid w:val="563216CA"/>
    <w:rsid w:val="56541A75"/>
    <w:rsid w:val="568832FC"/>
    <w:rsid w:val="568C4181"/>
    <w:rsid w:val="570725A9"/>
    <w:rsid w:val="5714693E"/>
    <w:rsid w:val="571D0C9C"/>
    <w:rsid w:val="573A16CE"/>
    <w:rsid w:val="579C7F80"/>
    <w:rsid w:val="57B30D7C"/>
    <w:rsid w:val="58166B03"/>
    <w:rsid w:val="583E3C94"/>
    <w:rsid w:val="58721734"/>
    <w:rsid w:val="58900246"/>
    <w:rsid w:val="58977358"/>
    <w:rsid w:val="58D53944"/>
    <w:rsid w:val="58D65478"/>
    <w:rsid w:val="58F52487"/>
    <w:rsid w:val="590422E6"/>
    <w:rsid w:val="592257E5"/>
    <w:rsid w:val="59655E33"/>
    <w:rsid w:val="59CF5BD9"/>
    <w:rsid w:val="59E20C3C"/>
    <w:rsid w:val="5A1D5B0A"/>
    <w:rsid w:val="5A3B4B4E"/>
    <w:rsid w:val="5A4804CA"/>
    <w:rsid w:val="5A594C85"/>
    <w:rsid w:val="5A8842AA"/>
    <w:rsid w:val="5AEB1E3C"/>
    <w:rsid w:val="5B2507CA"/>
    <w:rsid w:val="5B2A474A"/>
    <w:rsid w:val="5B830730"/>
    <w:rsid w:val="5BBB2DD6"/>
    <w:rsid w:val="5BE263B6"/>
    <w:rsid w:val="5C8E5C5A"/>
    <w:rsid w:val="5C965E61"/>
    <w:rsid w:val="5CF0089C"/>
    <w:rsid w:val="5CF5796F"/>
    <w:rsid w:val="5D242A11"/>
    <w:rsid w:val="5D9217C2"/>
    <w:rsid w:val="5DAD06BF"/>
    <w:rsid w:val="5DE23CB3"/>
    <w:rsid w:val="5DE97EEC"/>
    <w:rsid w:val="5DFA5EB0"/>
    <w:rsid w:val="5E000E4D"/>
    <w:rsid w:val="5E0B583E"/>
    <w:rsid w:val="5E201A7B"/>
    <w:rsid w:val="5EA45884"/>
    <w:rsid w:val="5EBD0484"/>
    <w:rsid w:val="5F2C5C7C"/>
    <w:rsid w:val="5F36141C"/>
    <w:rsid w:val="5FC5273F"/>
    <w:rsid w:val="604F6C39"/>
    <w:rsid w:val="60806DF2"/>
    <w:rsid w:val="61072DA5"/>
    <w:rsid w:val="611C0817"/>
    <w:rsid w:val="61224A52"/>
    <w:rsid w:val="61520CCB"/>
    <w:rsid w:val="61851A29"/>
    <w:rsid w:val="622D1522"/>
    <w:rsid w:val="622E0574"/>
    <w:rsid w:val="62683B6B"/>
    <w:rsid w:val="626E2769"/>
    <w:rsid w:val="6275761C"/>
    <w:rsid w:val="62816E52"/>
    <w:rsid w:val="62AC5944"/>
    <w:rsid w:val="632F3F8A"/>
    <w:rsid w:val="637279B4"/>
    <w:rsid w:val="63817D2B"/>
    <w:rsid w:val="63BD1FA9"/>
    <w:rsid w:val="63D175D1"/>
    <w:rsid w:val="63D27965"/>
    <w:rsid w:val="63F4667E"/>
    <w:rsid w:val="64095516"/>
    <w:rsid w:val="641A2468"/>
    <w:rsid w:val="64372F20"/>
    <w:rsid w:val="64DC72D7"/>
    <w:rsid w:val="653619A6"/>
    <w:rsid w:val="65610A02"/>
    <w:rsid w:val="65A11EA3"/>
    <w:rsid w:val="65AC3D66"/>
    <w:rsid w:val="65BB5334"/>
    <w:rsid w:val="663E1DBA"/>
    <w:rsid w:val="665D0213"/>
    <w:rsid w:val="669E59F1"/>
    <w:rsid w:val="66A2024B"/>
    <w:rsid w:val="6704732B"/>
    <w:rsid w:val="670F6731"/>
    <w:rsid w:val="67585CB0"/>
    <w:rsid w:val="67770F0C"/>
    <w:rsid w:val="67B03535"/>
    <w:rsid w:val="68174F69"/>
    <w:rsid w:val="682C436A"/>
    <w:rsid w:val="68382778"/>
    <w:rsid w:val="68391F41"/>
    <w:rsid w:val="68436B8C"/>
    <w:rsid w:val="684A23F5"/>
    <w:rsid w:val="68797358"/>
    <w:rsid w:val="6884624F"/>
    <w:rsid w:val="68A519DF"/>
    <w:rsid w:val="68C4160B"/>
    <w:rsid w:val="68C41C30"/>
    <w:rsid w:val="68CF3BA4"/>
    <w:rsid w:val="69257FA7"/>
    <w:rsid w:val="693F26C7"/>
    <w:rsid w:val="697E12B2"/>
    <w:rsid w:val="69C8706D"/>
    <w:rsid w:val="6A0E3FB4"/>
    <w:rsid w:val="6A292754"/>
    <w:rsid w:val="6A5E3B28"/>
    <w:rsid w:val="6A6B1EBE"/>
    <w:rsid w:val="6A8F43F7"/>
    <w:rsid w:val="6AD625F3"/>
    <w:rsid w:val="6B7218BE"/>
    <w:rsid w:val="6B750BA9"/>
    <w:rsid w:val="6BB93285"/>
    <w:rsid w:val="6C0C698C"/>
    <w:rsid w:val="6C222401"/>
    <w:rsid w:val="6C56267F"/>
    <w:rsid w:val="6C826EF9"/>
    <w:rsid w:val="6CAE4C93"/>
    <w:rsid w:val="6CB14F16"/>
    <w:rsid w:val="6CEC2069"/>
    <w:rsid w:val="6D0B1869"/>
    <w:rsid w:val="6D65402D"/>
    <w:rsid w:val="6D683822"/>
    <w:rsid w:val="6D8D136C"/>
    <w:rsid w:val="6DBF2759"/>
    <w:rsid w:val="6DC96F36"/>
    <w:rsid w:val="6DFA3EBF"/>
    <w:rsid w:val="6E3E63D2"/>
    <w:rsid w:val="6E5F7BE6"/>
    <w:rsid w:val="6E6918C6"/>
    <w:rsid w:val="6EEB4AC4"/>
    <w:rsid w:val="6F212DD6"/>
    <w:rsid w:val="6F3B5912"/>
    <w:rsid w:val="6F696DA7"/>
    <w:rsid w:val="6FA14A81"/>
    <w:rsid w:val="6FA3261F"/>
    <w:rsid w:val="700D6539"/>
    <w:rsid w:val="704203E3"/>
    <w:rsid w:val="7058046B"/>
    <w:rsid w:val="707F2079"/>
    <w:rsid w:val="70922734"/>
    <w:rsid w:val="70CE6DC7"/>
    <w:rsid w:val="710B3646"/>
    <w:rsid w:val="711759F2"/>
    <w:rsid w:val="713C4ED8"/>
    <w:rsid w:val="71407642"/>
    <w:rsid w:val="71641210"/>
    <w:rsid w:val="71D95B7C"/>
    <w:rsid w:val="71EA6A50"/>
    <w:rsid w:val="71FE31A8"/>
    <w:rsid w:val="720C30AE"/>
    <w:rsid w:val="721F6113"/>
    <w:rsid w:val="7233782C"/>
    <w:rsid w:val="73177841"/>
    <w:rsid w:val="733774FE"/>
    <w:rsid w:val="73617E1B"/>
    <w:rsid w:val="736D7653"/>
    <w:rsid w:val="738035CB"/>
    <w:rsid w:val="73852C46"/>
    <w:rsid w:val="7396335C"/>
    <w:rsid w:val="73F46595"/>
    <w:rsid w:val="74283FA2"/>
    <w:rsid w:val="742C135B"/>
    <w:rsid w:val="74463733"/>
    <w:rsid w:val="748A2F40"/>
    <w:rsid w:val="74F85778"/>
    <w:rsid w:val="75272439"/>
    <w:rsid w:val="758F1E9B"/>
    <w:rsid w:val="75CE266B"/>
    <w:rsid w:val="76120141"/>
    <w:rsid w:val="768216BE"/>
    <w:rsid w:val="76C23B43"/>
    <w:rsid w:val="76FD6F97"/>
    <w:rsid w:val="770218E8"/>
    <w:rsid w:val="779469CE"/>
    <w:rsid w:val="77C875A5"/>
    <w:rsid w:val="78A27DF6"/>
    <w:rsid w:val="79285B3A"/>
    <w:rsid w:val="79625CA9"/>
    <w:rsid w:val="79A91196"/>
    <w:rsid w:val="7A0B32D3"/>
    <w:rsid w:val="7AC13CD3"/>
    <w:rsid w:val="7AE10264"/>
    <w:rsid w:val="7AE4248E"/>
    <w:rsid w:val="7AFA60A3"/>
    <w:rsid w:val="7B4A207F"/>
    <w:rsid w:val="7B936F45"/>
    <w:rsid w:val="7BA47419"/>
    <w:rsid w:val="7BB10D45"/>
    <w:rsid w:val="7BB44151"/>
    <w:rsid w:val="7C656A39"/>
    <w:rsid w:val="7CB93996"/>
    <w:rsid w:val="7CBE0F99"/>
    <w:rsid w:val="7D4E45F1"/>
    <w:rsid w:val="7DFB6D82"/>
    <w:rsid w:val="7E1D71D1"/>
    <w:rsid w:val="7E246254"/>
    <w:rsid w:val="7E6D090F"/>
    <w:rsid w:val="7ECC66B2"/>
    <w:rsid w:val="7F2914C3"/>
    <w:rsid w:val="7F5F2ED6"/>
    <w:rsid w:val="7FA837EF"/>
    <w:rsid w:val="7FC36955"/>
    <w:rsid w:val="7FE903A0"/>
    <w:rsid w:val="7FF07065"/>
    <w:rsid w:val="7FF97946"/>
    <w:rsid w:val="7FFE78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0"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cs="宋体" w:asciiTheme="minorHAnsi" w:hAnsiTheme="minorHAnsi" w:eastAsiaTheme="minorEastAsia"/>
      <w:color w:val="auto"/>
      <w:kern w:val="0"/>
      <w:sz w:val="24"/>
      <w:szCs w:val="24"/>
      <w:lang w:val="en-US" w:eastAsia="zh-CN" w:bidi="ar-SA"/>
    </w:rPr>
  </w:style>
  <w:style w:type="paragraph" w:styleId="3">
    <w:name w:val="heading 1"/>
    <w:basedOn w:val="1"/>
    <w:next w:val="1"/>
    <w:autoRedefine/>
    <w:qFormat/>
    <w:uiPriority w:val="0"/>
    <w:pPr>
      <w:keepNext/>
      <w:keepLines/>
      <w:numPr>
        <w:ilvl w:val="0"/>
        <w:numId w:val="1"/>
      </w:numPr>
      <w:adjustRightInd w:val="0"/>
      <w:snapToGrid w:val="0"/>
      <w:spacing w:before="340" w:after="50" w:afterLines="50" w:line="578" w:lineRule="auto"/>
      <w:ind w:left="425" w:hanging="425"/>
      <w:jc w:val="left"/>
      <w:outlineLvl w:val="0"/>
    </w:pPr>
    <w:rPr>
      <w:rFonts w:ascii="Times New Roman" w:hAnsi="Times New Roman" w:eastAsia="仿宋" w:cs="Times New Roman"/>
      <w:b/>
      <w:bCs/>
      <w:kern w:val="44"/>
      <w:sz w:val="36"/>
      <w:szCs w:val="44"/>
    </w:rPr>
  </w:style>
  <w:style w:type="paragraph" w:styleId="4">
    <w:name w:val="heading 2"/>
    <w:basedOn w:val="1"/>
    <w:next w:val="1"/>
    <w:link w:val="16"/>
    <w:autoRedefine/>
    <w:semiHidden/>
    <w:unhideWhenUsed/>
    <w:qFormat/>
    <w:uiPriority w:val="9"/>
    <w:pPr>
      <w:widowControl w:val="0"/>
      <w:numPr>
        <w:ilvl w:val="1"/>
        <w:numId w:val="1"/>
      </w:numPr>
      <w:spacing w:line="416" w:lineRule="auto"/>
      <w:ind w:left="567" w:hanging="567"/>
      <w:outlineLvl w:val="1"/>
    </w:pPr>
    <w:rPr>
      <w:rFonts w:ascii="Calibri Light" w:hAnsi="Calibri Light" w:eastAsia="宋体" w:cs="Times New Roman"/>
      <w:b/>
      <w:bCs/>
      <w:sz w:val="28"/>
      <w:szCs w:val="32"/>
    </w:rPr>
  </w:style>
  <w:style w:type="paragraph" w:styleId="5">
    <w:name w:val="heading 3"/>
    <w:basedOn w:val="1"/>
    <w:next w:val="1"/>
    <w:autoRedefine/>
    <w:semiHidden/>
    <w:unhideWhenUsed/>
    <w:qFormat/>
    <w:uiPriority w:val="9"/>
    <w:pPr>
      <w:keepNext/>
      <w:keepLines/>
      <w:numPr>
        <w:ilvl w:val="2"/>
        <w:numId w:val="1"/>
      </w:numPr>
      <w:spacing w:before="50" w:beforeLines="50" w:after="50" w:afterLines="50" w:line="416" w:lineRule="auto"/>
      <w:outlineLvl w:val="2"/>
    </w:pPr>
    <w:rPr>
      <w:rFonts w:ascii="宋体" w:hAnsi="宋体" w:eastAsia="宋体" w:cs="宋体"/>
      <w:b/>
      <w:bCs/>
      <w:sz w:val="32"/>
    </w:rPr>
  </w:style>
  <w:style w:type="paragraph" w:styleId="6">
    <w:name w:val="heading 4"/>
    <w:basedOn w:val="1"/>
    <w:next w:val="1"/>
    <w:autoRedefine/>
    <w:semiHidden/>
    <w:unhideWhenUsed/>
    <w:qFormat/>
    <w:uiPriority w:val="9"/>
    <w:pPr>
      <w:keepNext/>
      <w:keepLines/>
      <w:numPr>
        <w:ilvl w:val="3"/>
        <w:numId w:val="1"/>
      </w:numPr>
      <w:spacing w:before="120" w:after="120"/>
      <w:outlineLvl w:val="3"/>
    </w:pPr>
    <w:rPr>
      <w:rFonts w:ascii="Calibri Light" w:hAnsi="Calibri Light" w:eastAsia="宋体" w:cs="Times New Roman"/>
      <w:b/>
      <w:bCs/>
      <w:sz w:val="28"/>
      <w:szCs w:val="28"/>
    </w:rPr>
  </w:style>
  <w:style w:type="character" w:default="1" w:styleId="14">
    <w:name w:val="Default Paragraph Font"/>
    <w:autoRedefine/>
    <w:semiHidden/>
    <w:unhideWhenUsed/>
    <w:qFormat/>
    <w:uiPriority w:val="1"/>
  </w:style>
  <w:style w:type="table" w:default="1" w:styleId="12">
    <w:name w:val="Normal Table"/>
    <w:autoRedefine/>
    <w:semiHidden/>
    <w:unhideWhenUsed/>
    <w:qFormat/>
    <w:uiPriority w:val="99"/>
    <w:tblPr>
      <w:tblCellMar>
        <w:top w:w="0" w:type="dxa"/>
        <w:left w:w="108" w:type="dxa"/>
        <w:bottom w:w="0" w:type="dxa"/>
        <w:right w:w="108" w:type="dxa"/>
      </w:tblCellMar>
    </w:tblPr>
  </w:style>
  <w:style w:type="paragraph" w:styleId="2">
    <w:name w:val="toc 2"/>
    <w:basedOn w:val="1"/>
    <w:next w:val="1"/>
    <w:autoRedefine/>
    <w:qFormat/>
    <w:uiPriority w:val="0"/>
    <w:pPr>
      <w:ind w:left="200" w:leftChars="200"/>
    </w:pPr>
  </w:style>
  <w:style w:type="paragraph" w:styleId="7">
    <w:name w:val="annotation text"/>
    <w:basedOn w:val="1"/>
    <w:autoRedefine/>
    <w:semiHidden/>
    <w:unhideWhenUsed/>
    <w:qFormat/>
    <w:uiPriority w:val="99"/>
    <w:pPr>
      <w:jc w:val="left"/>
    </w:pPr>
  </w:style>
  <w:style w:type="paragraph" w:styleId="8">
    <w:name w:val="Balloon Text"/>
    <w:basedOn w:val="1"/>
    <w:link w:val="25"/>
    <w:autoRedefine/>
    <w:unhideWhenUsed/>
    <w:qFormat/>
    <w:uiPriority w:val="99"/>
    <w:rPr>
      <w:rFonts w:cstheme="minorBidi"/>
      <w:kern w:val="2"/>
      <w:sz w:val="18"/>
      <w:szCs w:val="18"/>
    </w:rPr>
  </w:style>
  <w:style w:type="paragraph" w:styleId="9">
    <w:name w:val="footer"/>
    <w:basedOn w:val="1"/>
    <w:link w:val="17"/>
    <w:autoRedefine/>
    <w:qFormat/>
    <w:uiPriority w:val="99"/>
    <w:pPr>
      <w:tabs>
        <w:tab w:val="center" w:pos="4153"/>
        <w:tab w:val="right" w:pos="8306"/>
      </w:tabs>
      <w:snapToGrid w:val="0"/>
      <w:jc w:val="left"/>
    </w:pPr>
    <w:rPr>
      <w:rFonts w:cstheme="minorBidi"/>
      <w:kern w:val="2"/>
      <w:sz w:val="18"/>
      <w:szCs w:val="18"/>
    </w:rPr>
  </w:style>
  <w:style w:type="paragraph" w:styleId="10">
    <w:name w:val="header"/>
    <w:basedOn w:val="1"/>
    <w:link w:val="18"/>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center"/>
    </w:pPr>
    <w:rPr>
      <w:rFonts w:cstheme="minorBidi"/>
      <w:kern w:val="2"/>
      <w:sz w:val="18"/>
      <w:szCs w:val="18"/>
    </w:rPr>
  </w:style>
  <w:style w:type="paragraph" w:styleId="11">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table" w:styleId="13">
    <w:name w:val="Table Grid"/>
    <w:autoRedefine/>
    <w:qFormat/>
    <w:uiPriority w:val="0"/>
    <w:rPr>
      <w:sz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5">
    <w:name w:val="Strong"/>
    <w:basedOn w:val="14"/>
    <w:autoRedefine/>
    <w:qFormat/>
    <w:uiPriority w:val="22"/>
    <w:rPr>
      <w:b/>
    </w:rPr>
  </w:style>
  <w:style w:type="character" w:customStyle="1" w:styleId="16">
    <w:name w:val="标题 2 Char"/>
    <w:link w:val="4"/>
    <w:autoRedefine/>
    <w:qFormat/>
    <w:uiPriority w:val="0"/>
    <w:rPr>
      <w:rFonts w:ascii="Calibri Light" w:hAnsi="Calibri Light" w:eastAsia="宋体" w:cs="Times New Roman"/>
      <w:b/>
      <w:bCs/>
      <w:sz w:val="28"/>
      <w:szCs w:val="32"/>
    </w:rPr>
  </w:style>
  <w:style w:type="character" w:customStyle="1" w:styleId="17">
    <w:name w:val="页脚 Char"/>
    <w:basedOn w:val="14"/>
    <w:link w:val="9"/>
    <w:autoRedefine/>
    <w:qFormat/>
    <w:uiPriority w:val="99"/>
    <w:rPr>
      <w:rFonts w:asciiTheme="minorHAnsi" w:hAnsiTheme="minorHAnsi" w:eastAsiaTheme="minorEastAsia" w:cstheme="minorBidi"/>
      <w:sz w:val="18"/>
      <w:szCs w:val="18"/>
      <w:lang w:val="en-US" w:eastAsia="zh-CN" w:bidi="ar-SA"/>
    </w:rPr>
  </w:style>
  <w:style w:type="character" w:customStyle="1" w:styleId="18">
    <w:name w:val="页眉 Char"/>
    <w:basedOn w:val="14"/>
    <w:link w:val="10"/>
    <w:autoRedefine/>
    <w:qFormat/>
    <w:uiPriority w:val="0"/>
    <w:rPr>
      <w:rFonts w:asciiTheme="minorHAnsi" w:hAnsiTheme="minorHAnsi" w:eastAsiaTheme="minorEastAsia" w:cstheme="minorBidi"/>
      <w:sz w:val="18"/>
      <w:szCs w:val="18"/>
      <w:lang w:val="en-US" w:eastAsia="zh-CN" w:bidi="ar-SA"/>
    </w:rPr>
  </w:style>
  <w:style w:type="character" w:customStyle="1" w:styleId="19">
    <w:name w:val="font11"/>
    <w:basedOn w:val="14"/>
    <w:autoRedefine/>
    <w:qFormat/>
    <w:uiPriority w:val="0"/>
    <w:rPr>
      <w:rFonts w:hint="eastAsia" w:ascii="宋体" w:hAnsi="宋体" w:eastAsia="宋体" w:cs="宋体"/>
      <w:color w:val="000000"/>
      <w:sz w:val="20"/>
      <w:szCs w:val="20"/>
      <w:u w:val="none"/>
      <w:lang w:val="en-US" w:eastAsia="zh-CN" w:bidi="ar-SA"/>
    </w:rPr>
  </w:style>
  <w:style w:type="character" w:customStyle="1" w:styleId="20">
    <w:name w:val="font01"/>
    <w:basedOn w:val="14"/>
    <w:autoRedefine/>
    <w:qFormat/>
    <w:uiPriority w:val="0"/>
    <w:rPr>
      <w:rFonts w:hint="eastAsia" w:ascii="宋体" w:hAnsi="宋体" w:eastAsia="宋体" w:cs="宋体"/>
      <w:color w:val="000000"/>
      <w:sz w:val="22"/>
      <w:szCs w:val="22"/>
      <w:u w:val="none"/>
      <w:lang w:val="en-US" w:eastAsia="zh-CN" w:bidi="ar-SA"/>
    </w:rPr>
  </w:style>
  <w:style w:type="character" w:customStyle="1" w:styleId="21">
    <w:name w:val="font41"/>
    <w:basedOn w:val="14"/>
    <w:autoRedefine/>
    <w:qFormat/>
    <w:uiPriority w:val="0"/>
    <w:rPr>
      <w:rFonts w:hint="eastAsia" w:ascii="宋体" w:hAnsi="宋体" w:eastAsia="宋体" w:cs="宋体"/>
      <w:color w:val="000000"/>
      <w:sz w:val="24"/>
      <w:szCs w:val="24"/>
      <w:u w:val="none"/>
      <w:lang w:val="en-US" w:eastAsia="zh-CN" w:bidi="ar-SA"/>
    </w:rPr>
  </w:style>
  <w:style w:type="character" w:customStyle="1" w:styleId="22">
    <w:name w:val="font31"/>
    <w:basedOn w:val="14"/>
    <w:autoRedefine/>
    <w:qFormat/>
    <w:uiPriority w:val="0"/>
    <w:rPr>
      <w:rFonts w:hint="eastAsia" w:ascii="华文中宋" w:hAnsi="华文中宋" w:eastAsia="华文中宋" w:cs="华文中宋"/>
      <w:color w:val="000000"/>
      <w:sz w:val="32"/>
      <w:szCs w:val="32"/>
      <w:u w:val="none"/>
      <w:lang w:val="en-US" w:eastAsia="zh-CN" w:bidi="ar-SA"/>
    </w:rPr>
  </w:style>
  <w:style w:type="character" w:customStyle="1" w:styleId="23">
    <w:name w:val="font91"/>
    <w:basedOn w:val="14"/>
    <w:autoRedefine/>
    <w:qFormat/>
    <w:uiPriority w:val="0"/>
    <w:rPr>
      <w:rFonts w:hint="eastAsia" w:ascii="华文中宋" w:hAnsi="华文中宋" w:eastAsia="华文中宋" w:cs="华文中宋"/>
      <w:color w:val="000000"/>
      <w:sz w:val="32"/>
      <w:szCs w:val="32"/>
      <w:u w:val="none"/>
      <w:lang w:val="en-US" w:eastAsia="zh-CN" w:bidi="ar-SA"/>
    </w:rPr>
  </w:style>
  <w:style w:type="character" w:customStyle="1" w:styleId="24">
    <w:name w:val="font51"/>
    <w:basedOn w:val="14"/>
    <w:autoRedefine/>
    <w:qFormat/>
    <w:uiPriority w:val="0"/>
    <w:rPr>
      <w:rFonts w:hint="eastAsia" w:ascii="宋体" w:hAnsi="宋体" w:eastAsia="宋体" w:cs="宋体"/>
      <w:color w:val="000000"/>
      <w:sz w:val="24"/>
      <w:szCs w:val="24"/>
      <w:u w:val="none"/>
      <w:lang w:val="en-US" w:eastAsia="zh-CN" w:bidi="ar-SA"/>
    </w:rPr>
  </w:style>
  <w:style w:type="character" w:customStyle="1" w:styleId="25">
    <w:name w:val="批注框文本 Char"/>
    <w:basedOn w:val="14"/>
    <w:link w:val="8"/>
    <w:autoRedefine/>
    <w:semiHidden/>
    <w:qFormat/>
    <w:uiPriority w:val="99"/>
    <w:rPr>
      <w:rFonts w:asciiTheme="minorHAnsi" w:hAnsiTheme="minorHAnsi" w:eastAsiaTheme="minorEastAsia" w:cstheme="minorBidi"/>
      <w:sz w:val="18"/>
      <w:szCs w:val="1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6.svg"/><Relationship Id="rId14" Type="http://schemas.openxmlformats.org/officeDocument/2006/relationships/image" Target="media/image5.pn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神州网信技术有限公司</Company>
  <Pages>37</Pages>
  <Words>10213</Words>
  <Characters>12462</Characters>
  <Lines>86</Lines>
  <Paragraphs>24</Paragraphs>
  <TotalTime>44</TotalTime>
  <ScaleCrop>false</ScaleCrop>
  <LinksUpToDate>false</LinksUpToDate>
  <CharactersWithSpaces>13092</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2023-08-04T07:55:00Z</dcterms:created>
  <dc:creator>王明新TIAD</dc:creator>
  <cp:lastModifiedBy>明媚</cp:lastModifiedBy>
  <cp:lastPrinted>2024-10-16T01:55:57Z</cp:lastPrinted>
  <dcterms:modified xsi:type="dcterms:W3CDTF">2024-10-11T08:33:53Z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3778A5CD131D489BAFE44C9DC1F5B7E4_13</vt:lpwstr>
  </property>
  <property fmtid="{D5CDD505-2E9C-101B-9397-08002B2CF9AE}" pid="4" name="KSOTemplateUUID">
    <vt:lpwstr>v1.0_mb_S7ajbG3IpAnL1wSthNCxfw==</vt:lpwstr>
  </property>
</Properties>
</file>