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中国共产党廊坊市纪律检查委员会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r>
        <w:rPr>
          <w:rFonts w:hint="eastAsia" w:ascii="Times New Roman" w:hAnsi="Times New Roman" w:eastAsia="仿宋_GB2312" w:cs="Times New Roman"/>
          <w:sz w:val="44"/>
          <w:szCs w:val="44"/>
        </w:rPr>
        <w:t xml:space="preserve">     </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560"/>
        <w:jc w:val="left"/>
        <w:rPr>
          <w:rFonts w:ascii="仿宋_GB2312" w:eastAsia="仿宋_GB2312"/>
          <w:sz w:val="32"/>
          <w:szCs w:val="32"/>
        </w:rPr>
      </w:pPr>
      <w:r>
        <w:rPr>
          <w:rFonts w:hint="eastAsia" w:ascii="仿宋_GB2312" w:eastAsia="仿宋_GB2312"/>
          <w:sz w:val="32"/>
          <w:szCs w:val="32"/>
        </w:rPr>
        <w:t>（一）负责全市党的纪律检查工作。贯彻落实党中央和省委、市委关于纪律检查工作的决策部署，维护党的章程和其他党内法规，检查党的路线方针政策和决议的执行情况，协助市委推进全面从严治党、加强党风建设和组织协调反腐败工作。</w:t>
      </w:r>
    </w:p>
    <w:p>
      <w:pPr>
        <w:spacing w:line="584" w:lineRule="exact"/>
        <w:ind w:firstLine="560"/>
        <w:jc w:val="left"/>
        <w:rPr>
          <w:rFonts w:ascii="仿宋_GB2312" w:eastAsia="仿宋_GB2312"/>
          <w:sz w:val="32"/>
          <w:szCs w:val="32"/>
        </w:rPr>
      </w:pPr>
      <w:r>
        <w:rPr>
          <w:rFonts w:hint="eastAsia" w:ascii="仿宋_GB2312" w:eastAsia="仿宋_GB2312"/>
          <w:sz w:val="32"/>
          <w:szCs w:val="32"/>
        </w:rPr>
        <w:t xml:space="preserve">（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      </w:t>
      </w:r>
    </w:p>
    <w:p>
      <w:pPr>
        <w:spacing w:line="584" w:lineRule="exact"/>
        <w:ind w:firstLine="560"/>
        <w:jc w:val="left"/>
        <w:rPr>
          <w:rFonts w:ascii="仿宋_GB2312" w:eastAsia="仿宋_GB2312"/>
          <w:sz w:val="32"/>
          <w:szCs w:val="32"/>
        </w:rPr>
      </w:pPr>
      <w:r>
        <w:rPr>
          <w:rFonts w:hint="eastAsia" w:ascii="仿宋_GB2312" w:eastAsia="仿宋_GB2312"/>
          <w:sz w:val="32"/>
          <w:szCs w:val="32"/>
        </w:rPr>
        <w:t>（三）支持配合巡视巡察工作。承担巡察整改日常监督责任，做好巡察整改督查督办工作，依规依纪依法处置巡视巡察移交的反映领导干部问题线索。</w:t>
      </w:r>
    </w:p>
    <w:p>
      <w:pPr>
        <w:spacing w:line="584" w:lineRule="exact"/>
        <w:ind w:firstLine="560"/>
        <w:jc w:val="left"/>
        <w:rPr>
          <w:rFonts w:ascii="仿宋_GB2312" w:eastAsia="仿宋_GB2312"/>
          <w:sz w:val="32"/>
          <w:szCs w:val="32"/>
        </w:rPr>
      </w:pPr>
      <w:r>
        <w:rPr>
          <w:rFonts w:hint="eastAsia" w:ascii="仿宋_GB2312" w:eastAsia="仿宋_GB2312"/>
          <w:sz w:val="32"/>
          <w:szCs w:val="32"/>
        </w:rPr>
        <w:t>（四）负责全市监察工作。贯彻落实党中央、省委和市委关于监察工作的决策部署，维护宪法法律，依法对市委管理的行使公权力的公职人员进行监察，调查职务违法和职务犯罪，开展廉政建设和反腐败工作。</w:t>
      </w:r>
    </w:p>
    <w:p>
      <w:pPr>
        <w:spacing w:line="584" w:lineRule="exact"/>
        <w:ind w:firstLine="560"/>
        <w:jc w:val="left"/>
        <w:rPr>
          <w:rFonts w:ascii="仿宋_GB2312" w:eastAsia="仿宋_GB2312"/>
          <w:sz w:val="32"/>
          <w:szCs w:val="32"/>
        </w:rPr>
      </w:pPr>
      <w:r>
        <w:rPr>
          <w:rFonts w:hint="eastAsia" w:ascii="仿宋_GB2312" w:eastAsia="仿宋_GB2312"/>
          <w:sz w:val="32"/>
          <w:szCs w:val="32"/>
        </w:rP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84" w:lineRule="exact"/>
        <w:ind w:firstLine="560"/>
        <w:jc w:val="left"/>
        <w:rPr>
          <w:rFonts w:ascii="仿宋_GB2312" w:eastAsia="仿宋_GB2312"/>
          <w:sz w:val="32"/>
          <w:szCs w:val="32"/>
        </w:rPr>
      </w:pPr>
      <w:r>
        <w:rPr>
          <w:rFonts w:hint="eastAsia" w:ascii="仿宋_GB2312" w:eastAsia="仿宋_GB2312"/>
          <w:sz w:val="32"/>
          <w:szCs w:val="32"/>
        </w:rPr>
        <w:t>（六）负责组织协调全面从严治党、党风廉政建设和反腐败宣传教育工作。</w:t>
      </w:r>
    </w:p>
    <w:p>
      <w:pPr>
        <w:spacing w:line="584" w:lineRule="exact"/>
        <w:ind w:firstLine="560"/>
        <w:jc w:val="left"/>
        <w:rPr>
          <w:rFonts w:ascii="仿宋_GB2312" w:eastAsia="仿宋_GB2312"/>
          <w:sz w:val="32"/>
          <w:szCs w:val="32"/>
        </w:rPr>
      </w:pPr>
      <w:r>
        <w:rPr>
          <w:rFonts w:hint="eastAsia" w:ascii="仿宋_GB2312" w:eastAsia="仿宋_GB2312"/>
          <w:sz w:val="32"/>
          <w:szCs w:val="32"/>
        </w:rPr>
        <w:t>（七）负责综合分析全面从严治党、党风廉政建设和反腐败工作情况，对纪检监察工作重要理论及实践问题进行调查研究；制定或者修改全市纪检监察有关制度，参与起草有关规范性文件。</w:t>
      </w:r>
    </w:p>
    <w:p>
      <w:pPr>
        <w:spacing w:line="584" w:lineRule="exact"/>
        <w:ind w:firstLine="560"/>
        <w:jc w:val="left"/>
        <w:rPr>
          <w:rFonts w:ascii="仿宋_GB2312" w:eastAsia="仿宋_GB2312"/>
          <w:sz w:val="32"/>
          <w:szCs w:val="32"/>
        </w:rPr>
      </w:pPr>
      <w:r>
        <w:rPr>
          <w:rFonts w:hint="eastAsia" w:ascii="仿宋_GB2312" w:eastAsia="仿宋_GB2312"/>
          <w:sz w:val="32"/>
          <w:szCs w:val="32"/>
        </w:rPr>
        <w:t>（八）负责组织协调全市反腐败追逃追赃和防逃工作，督促有关单位做好相关工作。</w:t>
      </w:r>
    </w:p>
    <w:p>
      <w:pPr>
        <w:spacing w:line="584" w:lineRule="exact"/>
        <w:ind w:firstLine="560"/>
        <w:jc w:val="left"/>
        <w:rPr>
          <w:rFonts w:ascii="仿宋_GB2312" w:eastAsia="仿宋_GB2312"/>
          <w:sz w:val="32"/>
          <w:szCs w:val="32"/>
        </w:rPr>
      </w:pPr>
      <w:r>
        <w:rPr>
          <w:rFonts w:hint="eastAsia" w:ascii="仿宋_GB2312" w:eastAsia="仿宋_GB2312"/>
          <w:sz w:val="32"/>
          <w:szCs w:val="32"/>
        </w:rPr>
        <w:t>（九）根据干部管理权限，负责全市纪检监察系统领导班子建设、干部队伍建设和组织建设的综合规划、政策研究、制度建设和业务指导；会同市委组织部负责市委巡察办的处级干部提名、考察，报市委任免；根据干部管理权限负责市委巡察办科级及以下干部人事工作。会同有关方面做好市纪委监委派驻（派出）机构、县（市、区）纪检监察机关、市管企业和市属学校、医院纪检监察机构领导班子建设有关工作；组织和指导全市纪检监察系统干部教育培训工作等。</w:t>
      </w:r>
    </w:p>
    <w:p>
      <w:pPr>
        <w:spacing w:line="584" w:lineRule="exact"/>
        <w:ind w:firstLine="560"/>
        <w:jc w:val="left"/>
        <w:rPr>
          <w:rFonts w:ascii="仿宋_GB2312" w:eastAsia="仿宋_GB2312"/>
          <w:sz w:val="32"/>
          <w:szCs w:val="32"/>
        </w:rPr>
      </w:pPr>
      <w:r>
        <w:rPr>
          <w:rFonts w:hint="eastAsia" w:ascii="仿宋_GB2312" w:eastAsia="仿宋_GB2312"/>
          <w:sz w:val="32"/>
          <w:szCs w:val="32"/>
        </w:rPr>
        <w:t>（十）完成省纪委、省监委、市委交办的其他任务。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方正小标宋简体" w:hAnsi="Times New Roman" w:eastAsia="方正小标宋简体" w:cs="Times New Roman"/>
          <w:sz w:val="32"/>
          <w:szCs w:val="24"/>
        </w:rPr>
      </w:pPr>
      <w:r>
        <w:rPr>
          <w:rFonts w:hint="eastAsia" w:ascii="方正小标宋简体" w:hAnsi="Times New Roman" w:eastAsia="方正小标宋简体" w:cs="Times New Roman"/>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pPr>
          </w:p>
        </w:tc>
        <w:tc>
          <w:tcPr>
            <w:tcW w:w="1134" w:type="dxa"/>
            <w:vMerge w:val="continue"/>
            <w:shd w:val="clear" w:color="auto" w:fill="auto"/>
            <w:vAlign w:val="center"/>
          </w:tcPr>
          <w:p>
            <w:pPr>
              <w:spacing w:line="584" w:lineRule="exact"/>
            </w:pPr>
          </w:p>
        </w:tc>
        <w:tc>
          <w:tcPr>
            <w:tcW w:w="1276" w:type="dxa"/>
            <w:vMerge w:val="continue"/>
            <w:shd w:val="clear" w:color="auto" w:fill="auto"/>
            <w:vAlign w:val="center"/>
          </w:tcPr>
          <w:p>
            <w:pPr>
              <w:spacing w:line="584" w:lineRule="exact"/>
            </w:pPr>
          </w:p>
        </w:tc>
        <w:tc>
          <w:tcPr>
            <w:tcW w:w="2902" w:type="dxa"/>
            <w:vMerge w:val="continue"/>
            <w:shd w:val="clear" w:color="auto" w:fill="auto"/>
            <w:vAlign w:val="center"/>
          </w:tcPr>
          <w:p>
            <w:pPr>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outlineLvl w:val="0"/>
              <w:rPr>
                <w:rFonts w:ascii="仿宋_GB2312" w:hAnsi="仿宋" w:eastAsia="仿宋_GB2312" w:cs="仿宋_GB2312"/>
                <w:sz w:val="28"/>
                <w:szCs w:val="28"/>
              </w:rPr>
            </w:pPr>
            <w:r>
              <w:rPr>
                <w:rFonts w:hint="eastAsia" w:ascii="仿宋_GB2312" w:hAnsi="仿宋" w:eastAsia="仿宋_GB2312" w:cs="仿宋_GB2312"/>
                <w:sz w:val="28"/>
                <w:szCs w:val="28"/>
              </w:rPr>
              <w:t>中国共产党廊坊市纪律检查委员会</w:t>
            </w:r>
          </w:p>
        </w:tc>
        <w:tc>
          <w:tcPr>
            <w:tcW w:w="1134" w:type="dxa"/>
            <w:shd w:val="clear" w:color="auto" w:fill="auto"/>
            <w:vAlign w:val="center"/>
          </w:tcPr>
          <w:p>
            <w:pPr>
              <w:spacing w:line="584" w:lineRule="exact"/>
              <w:jc w:val="center"/>
              <w:outlineLvl w:val="0"/>
              <w:rPr>
                <w:rFonts w:ascii="仿宋_GB2312" w:hAnsi="仿宋" w:eastAsia="仿宋_GB2312" w:cs="仿宋_GB2312"/>
                <w:sz w:val="28"/>
                <w:szCs w:val="28"/>
              </w:rPr>
            </w:pPr>
            <w:r>
              <w:rPr>
                <w:rFonts w:hint="eastAsia" w:ascii="仿宋_GB2312" w:hAnsi="仿宋" w:eastAsia="仿宋_GB2312" w:cs="仿宋_GB2312"/>
                <w:sz w:val="28"/>
                <w:szCs w:val="28"/>
              </w:rPr>
              <w:t>行政</w:t>
            </w:r>
          </w:p>
        </w:tc>
        <w:tc>
          <w:tcPr>
            <w:tcW w:w="1276" w:type="dxa"/>
            <w:shd w:val="clear" w:color="auto" w:fill="auto"/>
            <w:vAlign w:val="center"/>
          </w:tcPr>
          <w:p>
            <w:pPr>
              <w:spacing w:line="584" w:lineRule="exact"/>
              <w:jc w:val="center"/>
              <w:outlineLvl w:val="0"/>
              <w:rPr>
                <w:rFonts w:ascii="仿宋_GB2312" w:hAnsi="仿宋" w:eastAsia="仿宋_GB2312" w:cs="仿宋_GB2312"/>
                <w:sz w:val="28"/>
                <w:szCs w:val="28"/>
              </w:rPr>
            </w:pPr>
            <w:r>
              <w:rPr>
                <w:rFonts w:hint="eastAsia" w:ascii="仿宋_GB2312" w:hAnsi="仿宋" w:eastAsia="仿宋_GB2312" w:cs="仿宋_GB2312"/>
                <w:sz w:val="28"/>
                <w:szCs w:val="28"/>
              </w:rPr>
              <w:t>正处级</w:t>
            </w:r>
          </w:p>
        </w:tc>
        <w:tc>
          <w:tcPr>
            <w:tcW w:w="2902" w:type="dxa"/>
            <w:shd w:val="clear" w:color="auto" w:fill="auto"/>
            <w:vAlign w:val="center"/>
          </w:tcPr>
          <w:p>
            <w:pPr>
              <w:spacing w:line="584" w:lineRule="exact"/>
              <w:jc w:val="center"/>
              <w:outlineLvl w:val="0"/>
              <w:rPr>
                <w:rFonts w:ascii="仿宋_GB2312" w:hAnsi="仿宋" w:eastAsia="仿宋_GB2312" w:cs="仿宋_GB2312"/>
                <w:sz w:val="28"/>
                <w:szCs w:val="28"/>
              </w:rPr>
            </w:pPr>
            <w:r>
              <w:rPr>
                <w:rFonts w:hint="eastAsia" w:ascii="仿宋_GB2312" w:hAnsi="仿宋" w:eastAsia="仿宋_GB2312" w:cs="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outlineLvl w:val="0"/>
              <w:rPr>
                <w:rFonts w:ascii="仿宋_GB2312" w:hAnsi="仿宋" w:eastAsia="仿宋_GB2312" w:cs="仿宋_GB2312"/>
                <w:sz w:val="28"/>
                <w:szCs w:val="28"/>
              </w:rPr>
            </w:pPr>
            <w:r>
              <w:rPr>
                <w:rFonts w:hint="eastAsia" w:ascii="仿宋_GB2312" w:hAnsi="仿宋" w:eastAsia="仿宋_GB2312" w:cs="仿宋_GB2312"/>
                <w:sz w:val="28"/>
                <w:szCs w:val="28"/>
              </w:rPr>
              <w:t>廊坊市纪委旧州管理中心</w:t>
            </w:r>
          </w:p>
        </w:tc>
        <w:tc>
          <w:tcPr>
            <w:tcW w:w="1134" w:type="dxa"/>
            <w:shd w:val="clear" w:color="auto" w:fill="auto"/>
            <w:vAlign w:val="center"/>
          </w:tcPr>
          <w:p>
            <w:pPr>
              <w:spacing w:line="584" w:lineRule="exact"/>
              <w:jc w:val="center"/>
              <w:outlineLvl w:val="0"/>
              <w:rPr>
                <w:rFonts w:ascii="仿宋_GB2312" w:hAnsi="仿宋" w:eastAsia="仿宋_GB2312" w:cs="仿宋_GB2312"/>
                <w:sz w:val="28"/>
                <w:szCs w:val="28"/>
              </w:rPr>
            </w:pPr>
            <w:r>
              <w:rPr>
                <w:rFonts w:hint="eastAsia" w:ascii="仿宋_GB2312" w:hAnsi="仿宋" w:eastAsia="仿宋_GB2312" w:cs="仿宋_GB2312"/>
                <w:sz w:val="28"/>
                <w:szCs w:val="28"/>
              </w:rPr>
              <w:t>事业</w:t>
            </w:r>
          </w:p>
        </w:tc>
        <w:tc>
          <w:tcPr>
            <w:tcW w:w="1276" w:type="dxa"/>
            <w:shd w:val="clear" w:color="auto" w:fill="auto"/>
            <w:vAlign w:val="center"/>
          </w:tcPr>
          <w:p>
            <w:pPr>
              <w:spacing w:line="584" w:lineRule="exact"/>
              <w:jc w:val="center"/>
              <w:outlineLvl w:val="0"/>
              <w:rPr>
                <w:rFonts w:ascii="仿宋_GB2312" w:hAnsi="仿宋" w:eastAsia="仿宋_GB2312" w:cs="仿宋_GB2312"/>
                <w:sz w:val="28"/>
                <w:szCs w:val="28"/>
              </w:rPr>
            </w:pPr>
            <w:r>
              <w:rPr>
                <w:rFonts w:hint="eastAsia" w:ascii="仿宋_GB2312" w:hAnsi="仿宋" w:eastAsia="仿宋_GB2312" w:cs="仿宋_GB2312"/>
                <w:sz w:val="28"/>
                <w:szCs w:val="28"/>
              </w:rPr>
              <w:t>正科级</w:t>
            </w:r>
          </w:p>
        </w:tc>
        <w:tc>
          <w:tcPr>
            <w:tcW w:w="2902" w:type="dxa"/>
            <w:shd w:val="clear" w:color="auto" w:fill="auto"/>
            <w:vAlign w:val="center"/>
          </w:tcPr>
          <w:p>
            <w:pPr>
              <w:spacing w:line="584" w:lineRule="exact"/>
              <w:jc w:val="center"/>
              <w:outlineLvl w:val="0"/>
              <w:rPr>
                <w:rFonts w:ascii="仿宋_GB2312" w:hAnsi="仿宋" w:eastAsia="仿宋_GB2312" w:cs="仿宋_GB2312"/>
                <w:sz w:val="28"/>
                <w:szCs w:val="28"/>
              </w:rPr>
            </w:pPr>
            <w:r>
              <w:rPr>
                <w:rFonts w:hint="eastAsia" w:ascii="仿宋_GB2312" w:hAnsi="仿宋" w:eastAsia="仿宋_GB2312" w:cs="仿宋_GB2312"/>
                <w:sz w:val="28"/>
                <w:szCs w:val="28"/>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2年预算收入10619.02万元，其中：一般公共预算收入10473.51万元，基金预算收入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上年结转145.51</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2年支出预算10619.02万元，其中基本支出6195.73万元，包括人员类项目经费5418.77万元和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公用项目经费776.96万元；运转类其他及特定目标类项目支出</w:t>
      </w:r>
      <w:r>
        <w:rPr>
          <w:rFonts w:hint="eastAsia" w:ascii="Times New Roman" w:hAnsi="Times New Roman" w:eastAsia="仿宋_GB2312" w:cs="Times New Roman"/>
          <w:sz w:val="32"/>
          <w:szCs w:val="32"/>
        </w:rPr>
        <w:t>4423.29</w:t>
      </w:r>
      <w:r>
        <w:rPr>
          <w:rFonts w:ascii="Times New Roman" w:hAnsi="Times New Roman" w:eastAsia="仿宋_GB2312" w:cs="Times New Roman"/>
          <w:sz w:val="32"/>
          <w:szCs w:val="32"/>
        </w:rPr>
        <w:t>万元，包括本级支出，主要为</w:t>
      </w:r>
      <w:r>
        <w:rPr>
          <w:rFonts w:hint="eastAsia" w:ascii="仿宋_GB2312" w:eastAsia="仿宋_GB2312"/>
          <w:sz w:val="32"/>
          <w:szCs w:val="32"/>
        </w:rPr>
        <w:t>监督检查和审查调查工作经费</w:t>
      </w:r>
      <w:r>
        <w:rPr>
          <w:rFonts w:ascii="仿宋_GB2312" w:eastAsia="仿宋_GB2312"/>
          <w:sz w:val="32"/>
          <w:szCs w:val="32"/>
        </w:rPr>
        <w:t>、</w:t>
      </w:r>
      <w:r>
        <w:rPr>
          <w:rFonts w:hint="eastAsia" w:ascii="仿宋_GB2312" w:eastAsia="仿宋_GB2312"/>
          <w:sz w:val="32"/>
          <w:szCs w:val="32"/>
        </w:rPr>
        <w:t>巡视巡察工作专项经费及纪检监察信息化运行维护专项经费,</w:t>
      </w:r>
      <w:r>
        <w:rPr>
          <w:rFonts w:hint="eastAsia" w:ascii="Times New Roman" w:hAnsi="Times New Roman" w:eastAsia="仿宋_GB2312" w:cs="Times New Roman"/>
          <w:sz w:val="32"/>
          <w:szCs w:val="32"/>
        </w:rPr>
        <w:t xml:space="preserve"> 旧州管理中心工作经费及经常性项目经费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2年预算收支安排10619.02万元，较20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3188.307186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834.55</w:t>
      </w:r>
      <w:r>
        <w:rPr>
          <w:rFonts w:ascii="Times New Roman" w:hAnsi="Times New Roman" w:eastAsia="仿宋_GB2312" w:cs="Times New Roman"/>
          <w:sz w:val="32"/>
          <w:szCs w:val="32"/>
        </w:rPr>
        <w:t>万元，主要为</w:t>
      </w:r>
      <w:r>
        <w:rPr>
          <w:rFonts w:hint="eastAsia" w:ascii="仿宋_GB2312" w:eastAsia="仿宋_GB2312"/>
          <w:sz w:val="32"/>
          <w:szCs w:val="32"/>
        </w:rPr>
        <w:t>工资福利支出和日常运转经费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4022.857186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本年预算</w:t>
      </w:r>
      <w:r>
        <w:rPr>
          <w:rFonts w:hint="eastAsia" w:ascii="仿宋_GB2312" w:eastAsia="仿宋_GB2312"/>
          <w:sz w:val="32"/>
          <w:szCs w:val="32"/>
        </w:rPr>
        <w:t>监督检查和审查调查工作经费</w:t>
      </w:r>
      <w:r>
        <w:rPr>
          <w:rFonts w:ascii="仿宋_GB2312" w:eastAsia="仿宋_GB2312"/>
          <w:sz w:val="32"/>
          <w:szCs w:val="32"/>
        </w:rPr>
        <w:t>、</w:t>
      </w:r>
      <w:r>
        <w:rPr>
          <w:rFonts w:hint="eastAsia" w:ascii="仿宋_GB2312" w:eastAsia="仿宋_GB2312"/>
          <w:sz w:val="32"/>
          <w:szCs w:val="32"/>
        </w:rPr>
        <w:t>巡视巡察工作专项经费减少；上年结转资金大幅减少。</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机关运行经费共计安排776.96万元，</w:t>
      </w:r>
      <w:r>
        <w:rPr>
          <w:rFonts w:ascii="仿宋_GB2312" w:eastAsia="仿宋_GB2312"/>
          <w:sz w:val="32"/>
          <w:szCs w:val="32"/>
        </w:rPr>
        <w:t>主要用于</w:t>
      </w:r>
      <w:r>
        <w:rPr>
          <w:rFonts w:hint="eastAsia" w:ascii="仿宋_GB2312" w:eastAsia="仿宋_GB2312"/>
          <w:sz w:val="32"/>
          <w:szCs w:val="32"/>
        </w:rPr>
        <w:t>市纪委</w:t>
      </w:r>
      <w:r>
        <w:rPr>
          <w:rFonts w:ascii="仿宋_GB2312" w:eastAsia="仿宋_GB2312"/>
          <w:sz w:val="32"/>
          <w:szCs w:val="32"/>
        </w:rPr>
        <w:t>办公区的日常维修</w:t>
      </w:r>
      <w:r>
        <w:rPr>
          <w:rFonts w:hint="eastAsia" w:ascii="仿宋_GB2312" w:eastAsia="仿宋_GB2312"/>
          <w:sz w:val="32"/>
          <w:szCs w:val="32"/>
        </w:rPr>
        <w:t>、</w:t>
      </w:r>
      <w:r>
        <w:rPr>
          <w:rFonts w:ascii="仿宋_GB2312" w:eastAsia="仿宋_GB2312"/>
          <w:sz w:val="32"/>
          <w:szCs w:val="32"/>
        </w:rPr>
        <w:t>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115.25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112.88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112.88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2.37</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少1.25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w:t>
      </w:r>
      <w:r>
        <w:rPr>
          <w:rFonts w:hint="eastAsia" w:ascii="Times New Roman" w:hAnsi="Times New Roman" w:eastAsia="仿宋_GB2312" w:cs="Times New Roman"/>
          <w:sz w:val="32"/>
          <w:szCs w:val="32"/>
        </w:rPr>
        <w:t>少1.25</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增减0</w:t>
      </w:r>
      <w:r>
        <w:rPr>
          <w:rFonts w:ascii="Times New Roman" w:hAnsi="Times New Roman" w:eastAsia="仿宋_GB2312" w:cs="Times New Roman"/>
          <w:sz w:val="32"/>
          <w:szCs w:val="32"/>
        </w:rPr>
        <w:t>万元，公务用车运维费减</w:t>
      </w:r>
      <w:r>
        <w:rPr>
          <w:rFonts w:hint="eastAsia" w:ascii="Times New Roman" w:hAnsi="Times New Roman" w:eastAsia="仿宋_GB2312" w:cs="Times New Roman"/>
          <w:sz w:val="32"/>
          <w:szCs w:val="32"/>
        </w:rPr>
        <w:t>少1.25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中国共产党廊坊市纪律检查委员会切实落实 “过紧日子”思想，压减公车运行维护经费支出</w:t>
      </w:r>
      <w:r>
        <w:rPr>
          <w:rFonts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overflowPunct w:val="0"/>
        <w:spacing w:line="584" w:lineRule="exact"/>
        <w:ind w:firstLine="632" w:firstLineChars="200"/>
        <w:rPr>
          <w:rFonts w:eastAsia="黑体"/>
          <w:sz w:val="32"/>
          <w:szCs w:val="32"/>
        </w:rPr>
      </w:pPr>
      <w:r>
        <w:rPr>
          <w:rFonts w:hint="eastAsia" w:ascii="仿宋_GB2312" w:eastAsia="仿宋_GB2312"/>
          <w:spacing w:val="-2"/>
          <w:sz w:val="32"/>
          <w:szCs w:val="32"/>
        </w:rPr>
        <w:t>2021年，在省纪委监委和廊坊市委的坚强领导下，市纪委监委领导班子坚持以习近平新时代中国特色社会主义思想为指导，全面贯彻党的十九大和十九届二中、三中、四中、五中、六中全会精神，按照十九届中央纪委五次全会、省纪委九届六次全会和市委六届十三、十四次全会以及市委第七次党代会部署要求，增强“四个意识”，坚定“四个自信”，做到“两个维护”，坚持稳中求进工作总基调，立足新发展阶段，完整准确全面贯彻新发展理念，主动服务和融入新发展格局。2022</w:t>
      </w:r>
      <w:r>
        <w:rPr>
          <w:rFonts w:hint="eastAsia" w:ascii="仿宋_GB2312" w:hAnsi="仿宋" w:eastAsia="仿宋_GB2312"/>
          <w:sz w:val="32"/>
          <w:szCs w:val="32"/>
        </w:rPr>
        <w:t>年我部门总体发展规划目标是：通过重点推进监督检查和审查调查工作、3轮巡视巡察工作、纪委监委网站运行维护工作，出版6期《廊坊纪检监察》杂志、进行1次纪检监察外网等保测评和1次纪检监察内网分保测评等工作，</w:t>
      </w:r>
      <w:r>
        <w:rPr>
          <w:rFonts w:hint="eastAsia" w:ascii="仿宋_GB2312" w:eastAsia="仿宋_GB2312"/>
          <w:sz w:val="32"/>
          <w:szCs w:val="32"/>
        </w:rPr>
        <w:t>中心(下属单位)采购49台(套)办案保障设备、维修改造1.9万平方米院区。</w:t>
      </w:r>
      <w:r>
        <w:rPr>
          <w:rFonts w:hint="eastAsia" w:ascii="仿宋_GB2312" w:eastAsia="仿宋_GB2312"/>
          <w:spacing w:val="-2"/>
          <w:sz w:val="32"/>
          <w:szCs w:val="32"/>
        </w:rPr>
        <w:t>以推动高质量发展为主题，坚定不移全面从严治党，发挥监督保障执行、促进完善发展作用，为建设“五个廊坊”、争当“三个排头兵”提供坚强保障。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3" w:firstLineChars="200"/>
        <w:rPr>
          <w:rFonts w:ascii="楷体_GB2312" w:eastAsia="楷体_GB2312"/>
          <w:b/>
          <w:bCs/>
          <w:sz w:val="32"/>
          <w:szCs w:val="32"/>
        </w:rPr>
      </w:pPr>
      <w:r>
        <w:rPr>
          <w:rFonts w:hint="eastAsia" w:ascii="楷体_GB2312" w:eastAsia="楷体_GB2312"/>
          <w:b/>
          <w:bCs/>
          <w:sz w:val="32"/>
          <w:szCs w:val="32"/>
        </w:rPr>
        <w:t>1.监督检查和审查调查工作</w:t>
      </w:r>
    </w:p>
    <w:p>
      <w:pPr>
        <w:spacing w:line="584" w:lineRule="exact"/>
        <w:ind w:firstLine="643" w:firstLineChars="200"/>
        <w:rPr>
          <w:rFonts w:eastAsia="楷体_GB2312"/>
          <w:b/>
          <w:bCs/>
          <w:color w:val="000000"/>
          <w:sz w:val="32"/>
          <w:szCs w:val="32"/>
        </w:rPr>
      </w:pPr>
      <w:r>
        <w:rPr>
          <w:rFonts w:eastAsia="仿宋_GB2312"/>
          <w:b/>
          <w:bCs/>
          <w:sz w:val="32"/>
          <w:szCs w:val="32"/>
        </w:rPr>
        <w:t>绩效目标：</w:t>
      </w:r>
      <w:r>
        <w:rPr>
          <w:rFonts w:hint="eastAsia" w:ascii="仿宋_GB2312" w:hAnsi="仿宋" w:eastAsia="仿宋_GB2312"/>
          <w:sz w:val="32"/>
          <w:szCs w:val="32"/>
        </w:rPr>
        <w:t xml:space="preserve"> 2022年，廊坊市纪委监委将持续加大审查调查工作力度，</w:t>
      </w:r>
      <w:r>
        <w:rPr>
          <w:rFonts w:ascii="仿宋_GB2312" w:hAnsi="仿宋" w:eastAsia="仿宋_GB2312"/>
          <w:sz w:val="32"/>
          <w:szCs w:val="32"/>
        </w:rPr>
        <w:t>立足</w:t>
      </w:r>
      <w:r>
        <w:rPr>
          <w:rFonts w:hint="eastAsia" w:ascii="仿宋_GB2312" w:hAnsi="仿宋" w:eastAsia="仿宋_GB2312"/>
          <w:sz w:val="32"/>
          <w:szCs w:val="32"/>
        </w:rPr>
        <w:t>“</w:t>
      </w:r>
      <w:r>
        <w:rPr>
          <w:rFonts w:ascii="仿宋_GB2312" w:hAnsi="仿宋" w:eastAsia="仿宋_GB2312"/>
          <w:sz w:val="32"/>
          <w:szCs w:val="32"/>
        </w:rPr>
        <w:t>不敢</w:t>
      </w:r>
      <w:r>
        <w:rPr>
          <w:rFonts w:hint="eastAsia" w:ascii="仿宋_GB2312" w:hAnsi="仿宋" w:eastAsia="仿宋_GB2312"/>
          <w:sz w:val="32"/>
          <w:szCs w:val="32"/>
        </w:rPr>
        <w:t>”</w:t>
      </w:r>
      <w:r>
        <w:rPr>
          <w:rFonts w:ascii="仿宋_GB2312" w:hAnsi="仿宋" w:eastAsia="仿宋_GB2312"/>
          <w:sz w:val="32"/>
          <w:szCs w:val="32"/>
        </w:rPr>
        <w:t>，始终保持</w:t>
      </w:r>
      <w:r>
        <w:rPr>
          <w:rFonts w:hint="eastAsia" w:ascii="仿宋_GB2312" w:hAnsi="仿宋" w:eastAsia="仿宋_GB2312"/>
          <w:sz w:val="32"/>
          <w:szCs w:val="32"/>
        </w:rPr>
        <w:t>“</w:t>
      </w:r>
      <w:r>
        <w:rPr>
          <w:rFonts w:ascii="仿宋_GB2312" w:hAnsi="仿宋" w:eastAsia="仿宋_GB2312"/>
          <w:sz w:val="32"/>
          <w:szCs w:val="32"/>
        </w:rPr>
        <w:t>惩</w:t>
      </w:r>
      <w:r>
        <w:rPr>
          <w:rFonts w:hint="eastAsia" w:ascii="仿宋_GB2312" w:hAnsi="仿宋" w:eastAsia="仿宋_GB2312"/>
          <w:sz w:val="32"/>
          <w:szCs w:val="32"/>
        </w:rPr>
        <w:t>”</w:t>
      </w:r>
      <w:r>
        <w:rPr>
          <w:rFonts w:ascii="仿宋_GB2312" w:hAnsi="仿宋" w:eastAsia="仿宋_GB2312"/>
          <w:sz w:val="32"/>
          <w:szCs w:val="32"/>
        </w:rPr>
        <w:t>的有力威慑</w:t>
      </w:r>
      <w:r>
        <w:rPr>
          <w:rFonts w:hint="eastAsia" w:ascii="仿宋_GB2312" w:hAnsi="仿宋" w:eastAsia="仿宋_GB2312"/>
          <w:sz w:val="32"/>
          <w:szCs w:val="32"/>
        </w:rPr>
        <w:t>；</w:t>
      </w:r>
      <w:r>
        <w:rPr>
          <w:rFonts w:ascii="仿宋_GB2312" w:hAnsi="仿宋" w:eastAsia="仿宋_GB2312"/>
          <w:sz w:val="32"/>
          <w:szCs w:val="32"/>
        </w:rPr>
        <w:t>立足</w:t>
      </w:r>
      <w:r>
        <w:rPr>
          <w:rFonts w:hint="eastAsia" w:ascii="仿宋_GB2312" w:hAnsi="仿宋" w:eastAsia="仿宋_GB2312"/>
          <w:sz w:val="32"/>
          <w:szCs w:val="32"/>
        </w:rPr>
        <w:t>“</w:t>
      </w:r>
      <w:r>
        <w:rPr>
          <w:rFonts w:ascii="仿宋_GB2312" w:hAnsi="仿宋" w:eastAsia="仿宋_GB2312"/>
          <w:sz w:val="32"/>
          <w:szCs w:val="32"/>
        </w:rPr>
        <w:t>不能</w:t>
      </w:r>
      <w:r>
        <w:rPr>
          <w:rFonts w:hint="eastAsia" w:ascii="仿宋_GB2312" w:hAnsi="仿宋" w:eastAsia="仿宋_GB2312"/>
          <w:sz w:val="32"/>
          <w:szCs w:val="32"/>
        </w:rPr>
        <w:t>”</w:t>
      </w:r>
      <w:r>
        <w:rPr>
          <w:rFonts w:ascii="仿宋_GB2312" w:hAnsi="仿宋" w:eastAsia="仿宋_GB2312"/>
          <w:sz w:val="32"/>
          <w:szCs w:val="32"/>
        </w:rPr>
        <w:t>，着力强化</w:t>
      </w:r>
      <w:r>
        <w:rPr>
          <w:rFonts w:hint="eastAsia" w:ascii="仿宋_GB2312" w:hAnsi="仿宋" w:eastAsia="仿宋_GB2312"/>
          <w:sz w:val="32"/>
          <w:szCs w:val="32"/>
        </w:rPr>
        <w:t>“</w:t>
      </w:r>
      <w:r>
        <w:rPr>
          <w:rFonts w:ascii="仿宋_GB2312" w:hAnsi="仿宋" w:eastAsia="仿宋_GB2312"/>
          <w:sz w:val="32"/>
          <w:szCs w:val="32"/>
        </w:rPr>
        <w:t>治</w:t>
      </w:r>
      <w:r>
        <w:rPr>
          <w:rFonts w:hint="eastAsia" w:ascii="仿宋_GB2312" w:hAnsi="仿宋" w:eastAsia="仿宋_GB2312"/>
          <w:sz w:val="32"/>
          <w:szCs w:val="32"/>
        </w:rPr>
        <w:t>”</w:t>
      </w:r>
      <w:r>
        <w:rPr>
          <w:rFonts w:ascii="仿宋_GB2312" w:hAnsi="仿宋" w:eastAsia="仿宋_GB2312"/>
          <w:sz w:val="32"/>
          <w:szCs w:val="32"/>
        </w:rPr>
        <w:t>的综合效能</w:t>
      </w:r>
      <w:r>
        <w:rPr>
          <w:rFonts w:hint="eastAsia" w:ascii="仿宋_GB2312" w:hAnsi="仿宋" w:eastAsia="仿宋_GB2312"/>
          <w:sz w:val="32"/>
          <w:szCs w:val="32"/>
        </w:rPr>
        <w:t>；</w:t>
      </w:r>
      <w:r>
        <w:rPr>
          <w:rFonts w:ascii="仿宋_GB2312" w:hAnsi="仿宋" w:eastAsia="仿宋_GB2312"/>
          <w:sz w:val="32"/>
          <w:szCs w:val="32"/>
        </w:rPr>
        <w:t>立足</w:t>
      </w:r>
      <w:r>
        <w:rPr>
          <w:rFonts w:hint="eastAsia" w:ascii="仿宋_GB2312" w:hAnsi="仿宋" w:eastAsia="仿宋_GB2312"/>
          <w:sz w:val="32"/>
          <w:szCs w:val="32"/>
        </w:rPr>
        <w:t>“</w:t>
      </w:r>
      <w:r>
        <w:rPr>
          <w:rFonts w:ascii="仿宋_GB2312" w:hAnsi="仿宋" w:eastAsia="仿宋_GB2312"/>
          <w:sz w:val="32"/>
          <w:szCs w:val="32"/>
        </w:rPr>
        <w:t>不想</w:t>
      </w:r>
      <w:r>
        <w:rPr>
          <w:rFonts w:hint="eastAsia" w:ascii="仿宋_GB2312" w:hAnsi="仿宋" w:eastAsia="仿宋_GB2312"/>
          <w:sz w:val="32"/>
          <w:szCs w:val="32"/>
        </w:rPr>
        <w:t>”</w:t>
      </w:r>
      <w:r>
        <w:rPr>
          <w:rFonts w:ascii="仿宋_GB2312" w:hAnsi="仿宋" w:eastAsia="仿宋_GB2312"/>
          <w:sz w:val="32"/>
          <w:szCs w:val="32"/>
        </w:rPr>
        <w:t>，充分释放</w:t>
      </w:r>
      <w:r>
        <w:rPr>
          <w:rFonts w:hint="eastAsia" w:ascii="仿宋_GB2312" w:hAnsi="仿宋" w:eastAsia="仿宋_GB2312"/>
          <w:sz w:val="32"/>
          <w:szCs w:val="32"/>
        </w:rPr>
        <w:t>“</w:t>
      </w:r>
      <w:r>
        <w:rPr>
          <w:rFonts w:ascii="仿宋_GB2312" w:hAnsi="仿宋" w:eastAsia="仿宋_GB2312"/>
          <w:sz w:val="32"/>
          <w:szCs w:val="32"/>
        </w:rPr>
        <w:t>警</w:t>
      </w:r>
      <w:r>
        <w:rPr>
          <w:rFonts w:hint="eastAsia" w:ascii="仿宋_GB2312" w:hAnsi="仿宋" w:eastAsia="仿宋_GB2312"/>
          <w:sz w:val="32"/>
          <w:szCs w:val="32"/>
        </w:rPr>
        <w:t>”</w:t>
      </w:r>
      <w:r>
        <w:rPr>
          <w:rFonts w:ascii="仿宋_GB2312" w:hAnsi="仿宋" w:eastAsia="仿宋_GB2312"/>
          <w:sz w:val="32"/>
          <w:szCs w:val="32"/>
        </w:rPr>
        <w:t>的预防作用。</w:t>
      </w:r>
    </w:p>
    <w:p>
      <w:pPr>
        <w:spacing w:line="584" w:lineRule="exact"/>
        <w:ind w:firstLine="643" w:firstLineChars="200"/>
        <w:rPr>
          <w:rFonts w:ascii="仿宋_GB2312" w:hAnsi="仿宋" w:eastAsia="仿宋_GB2312"/>
          <w:sz w:val="32"/>
          <w:szCs w:val="32"/>
        </w:rPr>
      </w:pPr>
      <w:r>
        <w:rPr>
          <w:rFonts w:eastAsia="仿宋_GB2312"/>
          <w:b/>
          <w:bCs/>
          <w:sz w:val="32"/>
          <w:szCs w:val="32"/>
        </w:rPr>
        <w:t>绩效指标：</w:t>
      </w:r>
      <w:r>
        <w:rPr>
          <w:rFonts w:hint="eastAsia" w:ascii="仿宋_GB2312" w:hAnsi="仿宋" w:eastAsia="仿宋_GB2312"/>
          <w:sz w:val="32"/>
          <w:szCs w:val="32"/>
        </w:rPr>
        <w:t>预计留置目标20人，目标安全事故率为0，留置时间在6个月以内。</w:t>
      </w:r>
    </w:p>
    <w:p>
      <w:pPr>
        <w:overflowPunct w:val="0"/>
        <w:spacing w:line="584" w:lineRule="exact"/>
        <w:ind w:firstLine="643" w:firstLineChars="200"/>
        <w:rPr>
          <w:rFonts w:ascii="楷体_GB2312" w:eastAsia="楷体_GB2312"/>
          <w:b/>
          <w:bCs/>
          <w:sz w:val="32"/>
          <w:szCs w:val="32"/>
        </w:rPr>
      </w:pPr>
      <w:r>
        <w:rPr>
          <w:rFonts w:hint="eastAsia" w:ascii="楷体_GB2312" w:eastAsia="楷体_GB2312"/>
          <w:b/>
          <w:bCs/>
          <w:sz w:val="32"/>
          <w:szCs w:val="32"/>
        </w:rPr>
        <w:t>2.巡视巡察工作</w:t>
      </w:r>
    </w:p>
    <w:p>
      <w:pPr>
        <w:overflowPunct w:val="0"/>
        <w:spacing w:line="584" w:lineRule="exact"/>
        <w:ind w:firstLine="643" w:firstLineChars="200"/>
        <w:rPr>
          <w:rFonts w:eastAsia="楷体_GB2312"/>
          <w:b/>
          <w:bCs/>
          <w:color w:val="000000"/>
          <w:sz w:val="32"/>
          <w:szCs w:val="32"/>
        </w:rPr>
      </w:pPr>
      <w:r>
        <w:rPr>
          <w:rFonts w:eastAsia="仿宋_GB2312"/>
          <w:b/>
          <w:bCs/>
          <w:sz w:val="32"/>
          <w:szCs w:val="32"/>
        </w:rPr>
        <w:t>绩效目标：</w:t>
      </w:r>
      <w:r>
        <w:rPr>
          <w:rFonts w:ascii="仿宋_GB2312" w:hAnsi="仿宋" w:eastAsia="仿宋_GB2312"/>
          <w:sz w:val="32"/>
          <w:szCs w:val="32"/>
        </w:rPr>
        <w:t>坚决落实巡察要求，提升全覆盖质量</w:t>
      </w:r>
      <w:r>
        <w:rPr>
          <w:rFonts w:hint="eastAsia" w:ascii="仿宋_GB2312" w:hAnsi="仿宋" w:eastAsia="仿宋_GB2312"/>
          <w:sz w:val="32"/>
          <w:szCs w:val="32"/>
        </w:rPr>
        <w:t>；对群众反映强烈、问题突出的某一领域</w:t>
      </w:r>
      <w:r>
        <w:rPr>
          <w:rFonts w:ascii="仿宋_GB2312" w:hAnsi="仿宋" w:eastAsia="仿宋_GB2312"/>
          <w:sz w:val="32"/>
          <w:szCs w:val="32"/>
        </w:rPr>
        <w:t>，联动开展专项巡察</w:t>
      </w:r>
      <w:r>
        <w:rPr>
          <w:rFonts w:hint="eastAsia" w:ascii="仿宋_GB2312" w:hAnsi="仿宋" w:eastAsia="仿宋_GB2312"/>
          <w:sz w:val="32"/>
          <w:szCs w:val="32"/>
        </w:rPr>
        <w:t>；</w:t>
      </w:r>
      <w:r>
        <w:rPr>
          <w:rFonts w:ascii="仿宋_GB2312" w:hAnsi="仿宋" w:eastAsia="仿宋_GB2312"/>
          <w:sz w:val="32"/>
          <w:szCs w:val="32"/>
        </w:rPr>
        <w:t>逐级压实整改责任，做实</w:t>
      </w:r>
      <w:r>
        <w:rPr>
          <w:rFonts w:hint="eastAsia" w:ascii="仿宋_GB2312" w:hAnsi="仿宋" w:eastAsia="仿宋_GB2312"/>
          <w:sz w:val="32"/>
          <w:szCs w:val="32"/>
        </w:rPr>
        <w:t>“</w:t>
      </w:r>
      <w:r>
        <w:rPr>
          <w:rFonts w:ascii="仿宋_GB2312" w:hAnsi="仿宋" w:eastAsia="仿宋_GB2312"/>
          <w:sz w:val="32"/>
          <w:szCs w:val="32"/>
        </w:rPr>
        <w:t>后半篇文章</w:t>
      </w:r>
      <w:r>
        <w:rPr>
          <w:rFonts w:hint="eastAsia" w:ascii="仿宋_GB2312" w:hAnsi="仿宋" w:eastAsia="仿宋_GB2312"/>
          <w:sz w:val="32"/>
          <w:szCs w:val="32"/>
        </w:rPr>
        <w:t>”</w:t>
      </w:r>
      <w:r>
        <w:rPr>
          <w:rFonts w:ascii="仿宋_GB2312" w:hAnsi="仿宋" w:eastAsia="仿宋_GB2312"/>
          <w:sz w:val="32"/>
          <w:szCs w:val="32"/>
        </w:rPr>
        <w:t>。</w:t>
      </w:r>
    </w:p>
    <w:p>
      <w:pPr>
        <w:overflowPunct w:val="0"/>
        <w:spacing w:line="584" w:lineRule="exact"/>
        <w:ind w:firstLine="643" w:firstLineChars="200"/>
        <w:rPr>
          <w:rFonts w:ascii="仿宋_GB2312" w:hAnsi="仿宋" w:eastAsia="仿宋_GB2312"/>
          <w:sz w:val="32"/>
          <w:szCs w:val="32"/>
        </w:rPr>
      </w:pPr>
      <w:r>
        <w:rPr>
          <w:rFonts w:eastAsia="仿宋_GB2312"/>
          <w:b/>
          <w:bCs/>
          <w:sz w:val="32"/>
          <w:szCs w:val="32"/>
        </w:rPr>
        <w:t>绩效指标：</w:t>
      </w:r>
      <w:r>
        <w:rPr>
          <w:rFonts w:hint="eastAsia" w:ascii="仿宋_GB2312" w:hAnsi="仿宋" w:eastAsia="仿宋_GB2312"/>
          <w:sz w:val="32"/>
          <w:szCs w:val="32"/>
        </w:rPr>
        <w:t>每轮组建10个巡察组，每轮巡察不超过2个月，共开展3轮巡察。</w:t>
      </w:r>
    </w:p>
    <w:p>
      <w:pPr>
        <w:overflowPunct w:val="0"/>
        <w:spacing w:line="584" w:lineRule="exact"/>
        <w:ind w:firstLine="643" w:firstLineChars="200"/>
        <w:rPr>
          <w:rFonts w:ascii="楷体_GB2312" w:eastAsia="楷体_GB2312"/>
          <w:b/>
          <w:bCs/>
          <w:sz w:val="32"/>
          <w:szCs w:val="32"/>
        </w:rPr>
      </w:pPr>
      <w:r>
        <w:rPr>
          <w:rFonts w:hint="eastAsia" w:ascii="楷体_GB2312" w:eastAsia="楷体_GB2312"/>
          <w:b/>
          <w:bCs/>
          <w:sz w:val="32"/>
          <w:szCs w:val="32"/>
        </w:rPr>
        <w:t>3.纪检监察信息化运行维护工作</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绩效目标：</w:t>
      </w:r>
      <w:r>
        <w:rPr>
          <w:rFonts w:ascii="仿宋_GB2312" w:hAnsi="仿宋" w:eastAsia="仿宋_GB2312"/>
          <w:sz w:val="32"/>
          <w:szCs w:val="32"/>
        </w:rPr>
        <w:t>通过廊坊市纪委监委信息化建设，切实增强纪检监察工作的信息化水平，进一步强化网络安全工作、网络保障工作、视频保障工作等信息化工作</w:t>
      </w:r>
      <w:r>
        <w:rPr>
          <w:rFonts w:hint="eastAsia" w:ascii="仿宋_GB2312" w:hAnsi="仿宋" w:eastAsia="仿宋_GB2312"/>
          <w:sz w:val="32"/>
          <w:szCs w:val="32"/>
        </w:rPr>
        <w:t>。</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绩效指标：</w:t>
      </w:r>
      <w:r>
        <w:rPr>
          <w:rFonts w:hint="eastAsia" w:ascii="仿宋_GB2312" w:hAnsi="仿宋" w:eastAsia="仿宋_GB2312"/>
          <w:sz w:val="32"/>
          <w:szCs w:val="32"/>
        </w:rPr>
        <w:t>廊坊市纪委监委网站聘用4名劳务派遣人员，进行一次网站安全检测，进行一次纪检监察外网等保测评和内网分保测评。</w:t>
      </w:r>
    </w:p>
    <w:p>
      <w:pPr>
        <w:overflowPunct w:val="0"/>
        <w:spacing w:line="584" w:lineRule="exact"/>
        <w:ind w:firstLine="643" w:firstLineChars="200"/>
        <w:rPr>
          <w:rFonts w:ascii="楷体_GB2312" w:eastAsia="楷体_GB2312"/>
          <w:b/>
          <w:bCs/>
          <w:sz w:val="32"/>
          <w:szCs w:val="32"/>
        </w:rPr>
      </w:pPr>
      <w:r>
        <w:rPr>
          <w:rFonts w:hint="eastAsia" w:ascii="楷体_GB2312" w:eastAsia="楷体_GB2312"/>
          <w:b/>
          <w:bCs/>
          <w:sz w:val="32"/>
          <w:szCs w:val="32"/>
        </w:rPr>
        <w:t>4.新闻媒体宣传及《廊坊纪检监察》杂志编印专项经费</w:t>
      </w:r>
    </w:p>
    <w:p>
      <w:pPr>
        <w:adjustRightInd w:val="0"/>
        <w:snapToGrid w:val="0"/>
        <w:spacing w:line="584" w:lineRule="exact"/>
        <w:ind w:firstLine="643" w:firstLineChars="200"/>
        <w:rPr>
          <w:rFonts w:eastAsia="仿宋_GB2312"/>
          <w:color w:val="000000"/>
          <w:sz w:val="32"/>
          <w:szCs w:val="32"/>
        </w:rPr>
      </w:pPr>
      <w:r>
        <w:rPr>
          <w:rFonts w:hint="eastAsia" w:ascii="仿宋_GB2312" w:hAnsi="仿宋" w:eastAsia="仿宋_GB2312"/>
          <w:b/>
          <w:sz w:val="32"/>
          <w:szCs w:val="32"/>
        </w:rPr>
        <w:t>绩效目标：</w:t>
      </w:r>
      <w:r>
        <w:rPr>
          <w:rFonts w:eastAsia="仿宋_GB2312"/>
          <w:color w:val="000000"/>
          <w:sz w:val="32"/>
          <w:szCs w:val="32"/>
        </w:rPr>
        <w:t>通过多角度全方位的警示教育，进一步督促全市党员干部时刻绷紧</w:t>
      </w:r>
      <w:r>
        <w:rPr>
          <w:rFonts w:hint="eastAsia" w:ascii="仿宋_GB2312" w:eastAsia="仿宋_GB2312"/>
          <w:color w:val="000000"/>
          <w:sz w:val="32"/>
          <w:szCs w:val="32"/>
        </w:rPr>
        <w:t>“</w:t>
      </w:r>
      <w:r>
        <w:rPr>
          <w:rFonts w:eastAsia="仿宋_GB2312"/>
          <w:color w:val="000000"/>
          <w:sz w:val="32"/>
          <w:szCs w:val="32"/>
        </w:rPr>
        <w:t>廉政弦</w:t>
      </w:r>
      <w:r>
        <w:rPr>
          <w:rFonts w:hint="eastAsia" w:ascii="仿宋_GB2312" w:eastAsia="仿宋_GB2312"/>
          <w:color w:val="000000"/>
          <w:sz w:val="32"/>
          <w:szCs w:val="32"/>
        </w:rPr>
        <w:t>”</w:t>
      </w:r>
      <w:r>
        <w:rPr>
          <w:rFonts w:eastAsia="仿宋_GB2312"/>
          <w:color w:val="000000"/>
          <w:sz w:val="32"/>
          <w:szCs w:val="32"/>
        </w:rPr>
        <w:t>，筑牢拒腐防变的思想道德防线。</w:t>
      </w:r>
      <w:r>
        <w:rPr>
          <w:rFonts w:hint="eastAsia" w:ascii="仿宋_GB2312" w:hAnsi="仿宋" w:eastAsia="仿宋_GB2312"/>
          <w:sz w:val="32"/>
          <w:szCs w:val="32"/>
        </w:rPr>
        <w:t>广泛发动纪检监察干部自发撰写一批优秀稿件，把杂志打造成全市纪检监察干部学习交流和展示工作经验的平台，不断扩大杂志影响力和知名度。</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绩效指标：</w:t>
      </w:r>
      <w:r>
        <w:rPr>
          <w:rFonts w:hint="eastAsia" w:ascii="仿宋_GB2312" w:hAnsi="仿宋" w:eastAsia="仿宋_GB2312"/>
          <w:sz w:val="32"/>
          <w:szCs w:val="32"/>
        </w:rPr>
        <w:t>全年发行6次《廊坊纪检监察》杂志，选取当年重大典型案件，拍摄录制警示教育专题片。</w:t>
      </w:r>
    </w:p>
    <w:p>
      <w:pPr>
        <w:spacing w:line="584"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5.机关综合事务管理工作</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绩效目标：</w:t>
      </w:r>
      <w:r>
        <w:rPr>
          <w:rFonts w:hint="eastAsia" w:ascii="仿宋_GB2312" w:hAnsi="仿宋" w:eastAsia="仿宋_GB2312"/>
          <w:sz w:val="32"/>
          <w:szCs w:val="32"/>
        </w:rPr>
        <w:t>保证市纪委监委能够正常运转，能够正常开展各项工作。</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绩效指标：</w:t>
      </w:r>
      <w:r>
        <w:rPr>
          <w:rFonts w:hint="eastAsia" w:ascii="仿宋_GB2312" w:hAnsi="仿宋" w:eastAsia="仿宋_GB2312"/>
          <w:sz w:val="32"/>
          <w:szCs w:val="32"/>
        </w:rPr>
        <w:t>全年组织并召开至少6次会议，主要包括市委反腐败领导协调小组工作例会，中、省纪委视频会、研讨会等会议，市纪委监委七届二次全会等；根据上级培训安排，全年至少参加4次培训；对全系统大概350名纪检工作人员进行体检，保障机关干部职工身体健康，确保机关纪检监察、巡视巡察等工作的正常运转；通过劳务派遣招聘至少34名派遣人员，专门服务于12388信访举报平台、廊坊市纪委监委网站以及需要用车外出进行检查工作的纪检工作人员。</w:t>
      </w:r>
    </w:p>
    <w:p>
      <w:pPr>
        <w:spacing w:line="584"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6.设备购置项目</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绩效目标：</w:t>
      </w:r>
      <w:r>
        <w:rPr>
          <w:rFonts w:hint="eastAsia" w:ascii="仿宋_GB2312" w:hAnsi="仿宋" w:eastAsia="仿宋_GB2312"/>
          <w:sz w:val="32"/>
          <w:szCs w:val="32"/>
        </w:rPr>
        <w:t>通过设备购置项目的开展使设施设备安全运转，准确、有效的完成留置看护任务。</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绩效指标：</w:t>
      </w:r>
      <w:r>
        <w:rPr>
          <w:rFonts w:hint="eastAsia" w:ascii="仿宋_GB2312" w:hAnsi="仿宋" w:eastAsia="仿宋_GB2312"/>
          <w:sz w:val="32"/>
          <w:szCs w:val="32"/>
        </w:rPr>
        <w:t>设备采购数量约为49台（套），一次性验收合格率达到100%，采购完成及验收合格时间在6月底之前，预算成本控制在50万元以内。</w:t>
      </w:r>
    </w:p>
    <w:p>
      <w:pPr>
        <w:spacing w:line="584"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7.院区维修改造项目</w:t>
      </w:r>
    </w:p>
    <w:p>
      <w:pPr>
        <w:spacing w:line="584" w:lineRule="exact"/>
        <w:ind w:firstLine="643" w:firstLineChars="200"/>
        <w:rPr>
          <w:rFonts w:ascii="仿宋_GB2312" w:eastAsia="仿宋_GB2312"/>
          <w:sz w:val="32"/>
          <w:szCs w:val="32"/>
        </w:rPr>
      </w:pPr>
      <w:r>
        <w:rPr>
          <w:rFonts w:hint="eastAsia" w:ascii="仿宋_GB2312" w:hAnsi="仿宋" w:eastAsia="仿宋_GB2312"/>
          <w:b/>
          <w:sz w:val="32"/>
          <w:szCs w:val="32"/>
        </w:rPr>
        <w:t>绩效目标：</w:t>
      </w:r>
      <w:r>
        <w:rPr>
          <w:rFonts w:hint="eastAsia" w:ascii="仿宋_GB2312" w:eastAsia="仿宋_GB2312"/>
          <w:sz w:val="32"/>
          <w:szCs w:val="32"/>
        </w:rPr>
        <w:t>通过院区维修改造项目的开展实施保证院区建筑设施安全，确保院区建筑安全。</w:t>
      </w:r>
    </w:p>
    <w:p>
      <w:pPr>
        <w:spacing w:line="584" w:lineRule="exact"/>
        <w:ind w:firstLine="643" w:firstLineChars="200"/>
        <w:rPr>
          <w:rFonts w:ascii="仿宋_GB2312" w:hAnsi="仿宋" w:eastAsia="仿宋_GB2312"/>
          <w:sz w:val="32"/>
          <w:szCs w:val="32"/>
        </w:rPr>
      </w:pPr>
      <w:r>
        <w:rPr>
          <w:rFonts w:hint="eastAsia" w:ascii="仿宋_GB2312" w:hAnsi="仿宋" w:eastAsia="仿宋_GB2312"/>
          <w:b/>
          <w:sz w:val="32"/>
          <w:szCs w:val="32"/>
        </w:rPr>
        <w:t>绩效指标：</w:t>
      </w:r>
      <w:r>
        <w:rPr>
          <w:rFonts w:hint="eastAsia" w:ascii="仿宋_GB2312" w:eastAsia="仿宋_GB2312"/>
          <w:sz w:val="32"/>
          <w:szCs w:val="32"/>
        </w:rPr>
        <w:t>项目涉及建筑面积1.9万平米，一次性验收合格率达到100%，项目完成及验收合格时间在6月底之前，总成本控制在50万元以内。</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3" w:firstLineChars="200"/>
        <w:rPr>
          <w:rFonts w:ascii="仿宋_GB2312" w:hAnsi="仿宋" w:eastAsia="仿宋_GB2312"/>
          <w:bCs/>
          <w:sz w:val="32"/>
          <w:szCs w:val="32"/>
        </w:rPr>
      </w:pPr>
      <w:r>
        <w:rPr>
          <w:rFonts w:hint="eastAsia" w:ascii="楷体_GB2312" w:eastAsia="楷体_GB2312"/>
          <w:b/>
          <w:bCs/>
          <w:sz w:val="32"/>
          <w:szCs w:val="32"/>
        </w:rPr>
        <w:t>（一）完善制度建设。</w:t>
      </w:r>
      <w:r>
        <w:rPr>
          <w:rFonts w:hint="eastAsia" w:ascii="仿宋_GB2312" w:hAnsi="仿宋" w:eastAsia="仿宋_GB2312"/>
          <w:bCs/>
          <w:sz w:val="32"/>
          <w:szCs w:val="32"/>
        </w:rPr>
        <w:t>制定廊坊市纪委监委预算绩效管理办法，成立由主要负责同志任组长、相关分管领导任副组长、各处室负责同志为成员的预算绩效管理工作领导小组。</w:t>
      </w:r>
    </w:p>
    <w:p>
      <w:pPr>
        <w:spacing w:line="584" w:lineRule="exact"/>
        <w:ind w:firstLine="643" w:firstLineChars="200"/>
        <w:rPr>
          <w:rFonts w:ascii="仿宋_GB2312" w:hAnsi="仿宋" w:eastAsia="仿宋_GB2312"/>
          <w:bCs/>
          <w:sz w:val="32"/>
          <w:szCs w:val="32"/>
        </w:rPr>
      </w:pPr>
      <w:r>
        <w:rPr>
          <w:rFonts w:ascii="楷体_GB2312" w:eastAsia="楷体_GB2312"/>
          <w:b/>
          <w:bCs/>
          <w:sz w:val="32"/>
          <w:szCs w:val="32"/>
        </w:rPr>
        <w:t>（二）加强支出管理。</w:t>
      </w:r>
      <w:r>
        <w:rPr>
          <w:rFonts w:hint="eastAsia" w:ascii="仿宋_GB2312" w:hAnsi="仿宋" w:eastAsia="仿宋_GB2312"/>
          <w:bCs/>
          <w:sz w:val="32"/>
          <w:szCs w:val="32"/>
        </w:rPr>
        <w:t>不断调整优化支出结构；财务科根据本部门实际需要编细编实预算，提高预算编制的科学性。严格按照《预算法》的要求，强化预算执行的严肃性，杜绝预算管理的随意性，没有列入预算的项目不得列支，超预算范围、超预算额度的，一律不得开支。强化预算执行的合法合规意识和绩效意识，提高财政资金使用效益。</w:t>
      </w:r>
    </w:p>
    <w:p>
      <w:pPr>
        <w:spacing w:line="584" w:lineRule="exact"/>
        <w:ind w:firstLine="643" w:firstLineChars="200"/>
        <w:rPr>
          <w:rFonts w:ascii="仿宋_GB2312" w:hAnsi="仿宋" w:eastAsia="仿宋_GB2312"/>
          <w:sz w:val="32"/>
          <w:szCs w:val="32"/>
        </w:rPr>
      </w:pPr>
      <w:r>
        <w:rPr>
          <w:rFonts w:ascii="楷体_GB2312" w:eastAsia="楷体_GB2312"/>
          <w:b/>
          <w:bCs/>
          <w:sz w:val="32"/>
          <w:szCs w:val="32"/>
        </w:rPr>
        <w:t>（三）加强绩效运行监控。</w:t>
      </w:r>
      <w:r>
        <w:rPr>
          <w:rFonts w:hint="eastAsia" w:ascii="仿宋_GB2312" w:hAnsi="仿宋" w:eastAsia="仿宋_GB2312"/>
          <w:bCs/>
          <w:sz w:val="32"/>
          <w:szCs w:val="32"/>
        </w:rPr>
        <w:t>财务科在预算执行全阶段，要严格执行支出承诺制度，根据年初资金支出计划，对本部门政策和项目执行进度开展月度监控，指导、督促本部门开展预算执行进度监控，确保财政资金按计划支出，提高资金使用效益。</w:t>
      </w:r>
    </w:p>
    <w:p>
      <w:pPr>
        <w:spacing w:line="584" w:lineRule="exact"/>
        <w:ind w:firstLine="643" w:firstLineChars="200"/>
        <w:rPr>
          <w:rFonts w:ascii="仿宋_GB2312" w:hAnsi="仿宋" w:eastAsia="仿宋_GB2312"/>
          <w:sz w:val="32"/>
          <w:szCs w:val="32"/>
        </w:rPr>
      </w:pPr>
      <w:r>
        <w:rPr>
          <w:rFonts w:ascii="楷体_GB2312" w:eastAsia="楷体_GB2312"/>
          <w:b/>
          <w:bCs/>
          <w:sz w:val="32"/>
          <w:szCs w:val="32"/>
        </w:rPr>
        <w:t>（四）做好绩效自评。</w:t>
      </w:r>
      <w:r>
        <w:rPr>
          <w:rFonts w:hint="eastAsia" w:ascii="仿宋_GB2312" w:hAnsi="仿宋" w:eastAsia="仿宋_GB2312"/>
          <w:bCs/>
          <w:sz w:val="32"/>
          <w:szCs w:val="32"/>
        </w:rPr>
        <w:t>办公室会同各处室</w:t>
      </w:r>
      <w:r>
        <w:rPr>
          <w:rFonts w:hint="eastAsia" w:ascii="仿宋_GB2312" w:hAnsi="仿宋" w:eastAsia="仿宋_GB2312"/>
          <w:sz w:val="32"/>
          <w:szCs w:val="32"/>
        </w:rPr>
        <w:t>根据年初确定的整体绩效目标，对本部门使用财政资金所实现的整体产出和效果开展年度自评，指导所属单位开展本单位整体绩效自评工作，对评价中发现的问题及时整改，不断优化支出结构，提高财政资金的使用效益。</w:t>
      </w:r>
    </w:p>
    <w:p>
      <w:pPr>
        <w:spacing w:line="584" w:lineRule="exact"/>
        <w:ind w:firstLine="643" w:firstLineChars="200"/>
        <w:rPr>
          <w:rFonts w:ascii="仿宋" w:hAnsi="仿宋" w:eastAsia="仿宋"/>
          <w:sz w:val="32"/>
          <w:szCs w:val="32"/>
        </w:rPr>
      </w:pPr>
      <w:r>
        <w:rPr>
          <w:rFonts w:ascii="楷体_GB2312" w:eastAsia="楷体_GB2312"/>
          <w:b/>
          <w:bCs/>
          <w:sz w:val="32"/>
          <w:szCs w:val="32"/>
        </w:rPr>
        <w:t>（五）规范财务资产管理。</w:t>
      </w:r>
      <w:r>
        <w:rPr>
          <w:rFonts w:hint="eastAsia" w:ascii="仿宋_GB2312" w:hAnsi="仿宋" w:eastAsia="仿宋_GB2312"/>
          <w:sz w:val="32"/>
          <w:szCs w:val="32"/>
        </w:rPr>
        <w:t>完善市纪委监委财务管理制度，严格审批程序，切实加强对项目经费开支的审核和控制，加强固定资产登记、使用和报废处置管理，做到支出合理，物尽其用。</w:t>
      </w:r>
    </w:p>
    <w:p>
      <w:pPr>
        <w:spacing w:line="584" w:lineRule="exact"/>
        <w:ind w:firstLine="643" w:firstLineChars="200"/>
        <w:rPr>
          <w:rFonts w:ascii="仿宋_GB2312" w:hAnsi="仿宋" w:eastAsia="仿宋_GB2312"/>
          <w:b/>
          <w:bCs/>
          <w:sz w:val="32"/>
          <w:szCs w:val="32"/>
        </w:rPr>
      </w:pPr>
      <w:r>
        <w:rPr>
          <w:rFonts w:ascii="楷体_GB2312" w:eastAsia="楷体_GB2312"/>
          <w:b/>
          <w:bCs/>
          <w:sz w:val="32"/>
          <w:szCs w:val="32"/>
        </w:rPr>
        <w:t>（六）加强内部监督。</w:t>
      </w:r>
      <w:r>
        <w:rPr>
          <w:rFonts w:hint="eastAsia" w:ascii="仿宋_GB2312" w:hAnsi="仿宋" w:eastAsia="仿宋_GB2312"/>
          <w:sz w:val="32"/>
          <w:szCs w:val="32"/>
        </w:rP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overflowPunct w:val="0"/>
        <w:adjustRightInd w:val="0"/>
        <w:snapToGrid w:val="0"/>
        <w:spacing w:afterLines="50" w:line="580" w:lineRule="exact"/>
        <w:ind w:firstLine="630" w:firstLineChars="196"/>
        <w:jc w:val="left"/>
        <w:rPr>
          <w:rFonts w:ascii="仿宋_GB2312" w:hAnsi="仿宋" w:eastAsia="仿宋_GB2312"/>
          <w:sz w:val="32"/>
          <w:szCs w:val="32"/>
        </w:rPr>
      </w:pPr>
      <w:r>
        <w:rPr>
          <w:rFonts w:ascii="楷体_GB2312" w:eastAsia="楷体_GB2312"/>
          <w:b/>
          <w:bCs/>
          <w:sz w:val="32"/>
          <w:szCs w:val="32"/>
        </w:rPr>
        <w:t>（七）加强宣传培训调研等。</w:t>
      </w:r>
      <w:r>
        <w:rPr>
          <w:rFonts w:hint="eastAsia" w:ascii="仿宋_GB2312" w:hAnsi="仿宋" w:eastAsia="仿宋_GB2312"/>
          <w:sz w:val="32"/>
          <w:szCs w:val="32"/>
        </w:rPr>
        <w:t>加强人员培训，提高本部门职工业务素质；加强调研，提出优化财政资金配置、提高资金使用效益的意见和建议；加大宣传力度，强化预算绩效管理意识，促进预算绩效管理水平进一步提升。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hint="eastAsia" w:ascii="方正书宋_GBK" w:eastAsia="方正书宋_GBK"/>
                <w:b/>
              </w:rPr>
              <w:t>二级指标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hint="eastAsia" w:ascii="方正书宋_GBK" w:eastAsia="方正书宋_GBK"/>
                <w:b/>
              </w:rPr>
              <w:t>三级指标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hint="eastAsia" w:ascii="方正书宋_GBK" w:eastAsia="方正书宋_GBK"/>
                <w:b/>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b/>
              </w:rPr>
            </w:pPr>
          </w:p>
        </w:tc>
        <w:tc>
          <w:tcPr>
            <w:tcW w:w="897" w:type="dxa"/>
            <w:vMerge w:val="continue"/>
            <w:tcBorders>
              <w:tl2br w:val="nil"/>
              <w:tr2bl w:val="nil"/>
            </w:tcBorders>
            <w:vAlign w:val="center"/>
          </w:tcPr>
          <w:p>
            <w:pPr>
              <w:widowControl/>
              <w:adjustRightInd w:val="0"/>
              <w:snapToGrid w:val="0"/>
              <w:jc w:val="center"/>
              <w:rPr>
                <w:rFonts w:ascii="方正书宋_GBK" w:eastAsia="方正书宋_GBK"/>
                <w:b/>
              </w:rPr>
            </w:pPr>
          </w:p>
        </w:tc>
        <w:tc>
          <w:tcPr>
            <w:tcW w:w="2172" w:type="dxa"/>
            <w:vMerge w:val="continue"/>
            <w:tcBorders>
              <w:tl2br w:val="nil"/>
              <w:tr2bl w:val="nil"/>
            </w:tcBorders>
            <w:vAlign w:val="center"/>
          </w:tcPr>
          <w:p>
            <w:pPr>
              <w:widowControl/>
              <w:adjustRightInd w:val="0"/>
              <w:snapToGrid w:val="0"/>
              <w:jc w:val="center"/>
              <w:rPr>
                <w:rFonts w:ascii="方正书宋_GBK" w:eastAsia="方正书宋_GBK"/>
                <w:b/>
              </w:rPr>
            </w:pPr>
          </w:p>
        </w:tc>
        <w:tc>
          <w:tcPr>
            <w:tcW w:w="1483" w:type="dxa"/>
            <w:vMerge w:val="continue"/>
            <w:tcBorders>
              <w:tl2br w:val="nil"/>
              <w:tr2bl w:val="nil"/>
            </w:tcBorders>
            <w:vAlign w:val="center"/>
          </w:tcPr>
          <w:p>
            <w:pPr>
              <w:widowControl/>
              <w:adjustRightInd w:val="0"/>
              <w:snapToGrid w:val="0"/>
              <w:jc w:val="center"/>
              <w:rPr>
                <w:rFonts w:ascii="方正书宋_GBK" w:eastAsia="方正书宋_GBK"/>
                <w:b/>
              </w:rPr>
            </w:p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pPr>
              <w:widowControl/>
              <w:adjustRightInd w:val="0"/>
              <w:snapToGrid w:val="0"/>
              <w:jc w:val="center"/>
              <w:rPr>
                <w:rFonts w:ascii="方正书宋_GBK" w:eastAsia="方正书宋_GBK"/>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部门</w:t>
            </w:r>
          </w:p>
          <w:p>
            <w:pPr>
              <w:overflowPunct w:val="0"/>
              <w:adjustRightInd w:val="0"/>
              <w:snapToGrid w:val="0"/>
              <w:jc w:val="center"/>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产出</w:t>
            </w:r>
          </w:p>
          <w:p>
            <w:pPr>
              <w:widowControl/>
              <w:spacing w:line="360" w:lineRule="exact"/>
              <w:jc w:val="left"/>
              <w:rPr>
                <w:rFonts w:ascii="方正书宋_GBK" w:hAnsi="仿宋_GB2312" w:eastAsia="方正书宋_GBK" w:cs="仿宋_GB2312"/>
                <w:color w:val="000000"/>
                <w:kern w:val="0"/>
                <w:sz w:val="20"/>
                <w:szCs w:val="20"/>
              </w:rPr>
            </w:pPr>
          </w:p>
          <w:p>
            <w:pPr>
              <w:spacing w:line="360" w:lineRule="exact"/>
              <w:jc w:val="left"/>
              <w:rPr>
                <w:rFonts w:ascii="方正书宋_GBK" w:hAnsi="仿宋_GB2312" w:eastAsia="方正书宋_GBK" w:cs="仿宋_GB2312"/>
                <w:kern w:val="0"/>
                <w:sz w:val="20"/>
                <w:szCs w:val="20"/>
              </w:rPr>
            </w:pPr>
          </w:p>
        </w:tc>
        <w:tc>
          <w:tcPr>
            <w:tcW w:w="825" w:type="dxa"/>
            <w:vMerge w:val="restart"/>
            <w:tcBorders>
              <w:tl2br w:val="nil"/>
              <w:tr2bl w:val="nil"/>
            </w:tcBorders>
            <w:vAlign w:val="center"/>
          </w:tcPr>
          <w:p>
            <w:pPr>
              <w:overflowPunct w:val="0"/>
              <w:adjustRightInd w:val="0"/>
              <w:snapToGrid w:val="0"/>
              <w:ind w:firstLine="210" w:firstLineChars="100"/>
              <w:rPr>
                <w:rFonts w:ascii="方正书宋_GBK" w:hAnsi="仿宋_GB2312" w:eastAsia="方正书宋_GBK" w:cs="仿宋_GB2312"/>
                <w:kern w:val="0"/>
                <w:szCs w:val="21"/>
              </w:rPr>
            </w:pPr>
            <w:r>
              <w:rPr>
                <w:rFonts w:hint="eastAsia" w:ascii="方正书宋_GBK" w:hAnsi="仿宋_GB2312" w:eastAsia="方正书宋_GBK" w:cs="仿宋_GB2312"/>
                <w:kern w:val="0"/>
                <w:szCs w:val="21"/>
              </w:rPr>
              <w:t>数量</w:t>
            </w: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目标</w:t>
            </w:r>
          </w:p>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人数</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达到标准得满分，每少1人，扣权重分数的10%，扣完为止。</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全年留置</w:t>
            </w:r>
          </w:p>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目标人数</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spacing w:line="360" w:lineRule="exact"/>
              <w:jc w:val="left"/>
              <w:rPr>
                <w:rFonts w:ascii="仿宋_GB2312" w:hAnsi="仿宋_GB2312" w:eastAsia="仿宋_GB2312" w:cs="仿宋_GB2312"/>
                <w:kern w:val="0"/>
                <w:sz w:val="20"/>
                <w:szCs w:val="20"/>
              </w:rPr>
            </w:pPr>
          </w:p>
        </w:tc>
        <w:tc>
          <w:tcPr>
            <w:tcW w:w="825" w:type="dxa"/>
            <w:vMerge w:val="continue"/>
            <w:tcBorders>
              <w:tl2br w:val="nil"/>
              <w:tr2bl w:val="nil"/>
            </w:tcBorders>
            <w:vAlign w:val="center"/>
          </w:tcPr>
          <w:p>
            <w:pPr>
              <w:overflowPunct w:val="0"/>
              <w:adjustRightInd w:val="0"/>
              <w:snapToGrid w:val="0"/>
              <w:rPr>
                <w:rFonts w:ascii="方正书宋_GBK" w:hAnsi="仿宋_GB2312" w:eastAsia="方正书宋_GBK" w:cs="仿宋_GB2312"/>
                <w:kern w:val="0"/>
                <w:szCs w:val="21"/>
              </w:rPr>
            </w:pP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巡察组数量</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达到标准得满分，每少1组，扣权重分数的10%，扣完为止。</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每轮巡察工作组建巡察组的数量</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组</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spacing w:line="360" w:lineRule="exact"/>
              <w:jc w:val="left"/>
              <w:rPr>
                <w:rFonts w:ascii="仿宋_GB2312" w:hAnsi="仿宋_GB2312" w:eastAsia="仿宋_GB2312" w:cs="仿宋_GB2312"/>
                <w:kern w:val="0"/>
                <w:sz w:val="20"/>
                <w:szCs w:val="20"/>
              </w:rPr>
            </w:pPr>
          </w:p>
        </w:tc>
        <w:tc>
          <w:tcPr>
            <w:tcW w:w="825" w:type="dxa"/>
            <w:vMerge w:val="continue"/>
            <w:tcBorders>
              <w:tl2br w:val="nil"/>
              <w:tr2bl w:val="nil"/>
            </w:tcBorders>
            <w:vAlign w:val="center"/>
          </w:tcPr>
          <w:p>
            <w:pPr>
              <w:overflowPunct w:val="0"/>
              <w:adjustRightInd w:val="0"/>
              <w:snapToGrid w:val="0"/>
              <w:rPr>
                <w:rFonts w:ascii="方正书宋_GBK" w:hAnsi="仿宋_GB2312" w:eastAsia="方正书宋_GBK" w:cs="仿宋_GB2312"/>
                <w:kern w:val="0"/>
                <w:szCs w:val="21"/>
              </w:rPr>
            </w:pPr>
          </w:p>
        </w:tc>
        <w:tc>
          <w:tcPr>
            <w:tcW w:w="897" w:type="dxa"/>
            <w:tcBorders>
              <w:tl2br w:val="nil"/>
              <w:tr2bl w:val="nil"/>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杂志出版期数</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达到标准得满分，每少1次，扣权重分数的10%，扣完为止。</w:t>
            </w:r>
          </w:p>
        </w:tc>
        <w:tc>
          <w:tcPr>
            <w:tcW w:w="1483" w:type="dxa"/>
            <w:tcBorders>
              <w:tl2br w:val="nil"/>
              <w:tr2bl w:val="nil"/>
            </w:tcBorders>
            <w:vAlign w:val="center"/>
          </w:tcPr>
          <w:p>
            <w:pPr>
              <w:overflowPunct w:val="0"/>
              <w:adjustRightInd w:val="0"/>
              <w:snapToGrid w:val="0"/>
              <w:ind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全年杂志</w:t>
            </w:r>
          </w:p>
          <w:p>
            <w:pPr>
              <w:overflowPunct w:val="0"/>
              <w:adjustRightInd w:val="0"/>
              <w:snapToGrid w:val="0"/>
              <w:ind w:firstLine="200" w:firstLineChars="1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出版期数</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期</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spacing w:line="360" w:lineRule="exact"/>
              <w:jc w:val="left"/>
              <w:rPr>
                <w:rFonts w:ascii="仿宋_GB2312" w:hAnsi="仿宋_GB2312" w:eastAsia="仿宋_GB2312" w:cs="仿宋_GB2312"/>
                <w:kern w:val="0"/>
                <w:sz w:val="20"/>
                <w:szCs w:val="20"/>
              </w:rPr>
            </w:pPr>
          </w:p>
        </w:tc>
        <w:tc>
          <w:tcPr>
            <w:tcW w:w="825" w:type="dxa"/>
            <w:vMerge w:val="continue"/>
            <w:tcBorders>
              <w:tl2br w:val="nil"/>
              <w:tr2bl w:val="nil"/>
            </w:tcBorders>
            <w:vAlign w:val="center"/>
          </w:tcPr>
          <w:p>
            <w:pPr>
              <w:overflowPunct w:val="0"/>
              <w:adjustRightInd w:val="0"/>
              <w:snapToGrid w:val="0"/>
              <w:rPr>
                <w:rFonts w:ascii="方正书宋_GBK" w:hAnsi="仿宋_GB2312" w:eastAsia="方正书宋_GBK" w:cs="仿宋_GB2312"/>
                <w:kern w:val="0"/>
                <w:szCs w:val="21"/>
              </w:rPr>
            </w:pPr>
          </w:p>
        </w:tc>
        <w:tc>
          <w:tcPr>
            <w:tcW w:w="897" w:type="dxa"/>
            <w:tcBorders>
              <w:tl2br w:val="nil"/>
              <w:tr2bl w:val="nil"/>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设备</w:t>
            </w:r>
          </w:p>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数量</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达到标准得满分，每减少1台，扣权重分数的10%，扣完为止。</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办案保障设备采购数量</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49</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台（套）</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65" w:hRule="atLeast"/>
          <w:jc w:val="center"/>
        </w:trPr>
        <w:tc>
          <w:tcPr>
            <w:tcW w:w="558" w:type="dxa"/>
            <w:vMerge w:val="continue"/>
            <w:tcBorders>
              <w:tl2br w:val="nil"/>
              <w:tr2bl w:val="nil"/>
            </w:tcBorders>
            <w:vAlign w:val="center"/>
          </w:tcPr>
          <w:p>
            <w:pPr>
              <w:spacing w:line="360" w:lineRule="exact"/>
              <w:jc w:val="left"/>
              <w:rPr>
                <w:rFonts w:ascii="仿宋_GB2312" w:hAnsi="仿宋_GB2312" w:eastAsia="仿宋_GB2312" w:cs="仿宋_GB2312"/>
                <w:kern w:val="0"/>
                <w:sz w:val="20"/>
                <w:szCs w:val="20"/>
              </w:rPr>
            </w:pPr>
          </w:p>
        </w:tc>
        <w:tc>
          <w:tcPr>
            <w:tcW w:w="825" w:type="dxa"/>
            <w:vMerge w:val="continue"/>
            <w:tcBorders>
              <w:tl2br w:val="nil"/>
              <w:tr2bl w:val="nil"/>
            </w:tcBorders>
            <w:vAlign w:val="center"/>
          </w:tcPr>
          <w:p>
            <w:pPr>
              <w:overflowPunct w:val="0"/>
              <w:adjustRightInd w:val="0"/>
              <w:snapToGrid w:val="0"/>
              <w:rPr>
                <w:rFonts w:ascii="方正书宋_GBK" w:hAnsi="仿宋_GB2312" w:eastAsia="方正书宋_GBK" w:cs="仿宋_GB2312"/>
                <w:kern w:val="0"/>
                <w:szCs w:val="21"/>
              </w:rPr>
            </w:pPr>
          </w:p>
        </w:tc>
        <w:tc>
          <w:tcPr>
            <w:tcW w:w="897" w:type="dxa"/>
            <w:tcBorders>
              <w:tl2br w:val="nil"/>
              <w:tr2bl w:val="nil"/>
            </w:tcBorders>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维修</w:t>
            </w:r>
          </w:p>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面积</w:t>
            </w:r>
          </w:p>
        </w:tc>
        <w:tc>
          <w:tcPr>
            <w:tcW w:w="2172"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院区维修</w:t>
            </w:r>
          </w:p>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改造面积</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万平方米</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628" w:hRule="atLeast"/>
          <w:jc w:val="center"/>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szCs w:val="21"/>
              </w:rPr>
            </w:pPr>
            <w:r>
              <w:rPr>
                <w:rFonts w:hint="eastAsia" w:ascii="方正书宋_GBK" w:eastAsia="方正书宋_GBK"/>
                <w:szCs w:val="21"/>
              </w:rPr>
              <w:t>质量</w:t>
            </w: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安全率</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全年留置目标安全、无责任事故发生</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网站安全率</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纪委监委网站不被恶意攻击、篡改</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等保测评</w:t>
            </w:r>
          </w:p>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合格率</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内网设备</w:t>
            </w:r>
          </w:p>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验收合格率</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合格率</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办案保障设备验收合格率</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jc w:val="center"/>
              <w:rPr>
                <w:rFonts w:ascii="仿宋_GB2312" w:eastAsia="仿宋_GB2312"/>
                <w:sz w:val="20"/>
                <w:szCs w:val="20"/>
              </w:rPr>
            </w:pPr>
            <w:r>
              <w:rPr>
                <w:rFonts w:hint="eastAsia" w:ascii="仿宋_GB2312" w:eastAsia="仿宋_GB2312"/>
                <w:sz w:val="20"/>
                <w:szCs w:val="20"/>
              </w:rPr>
              <w:t>合格率</w:t>
            </w:r>
          </w:p>
        </w:tc>
        <w:tc>
          <w:tcPr>
            <w:tcW w:w="2172" w:type="dxa"/>
            <w:tcBorders>
              <w:tl2br w:val="nil"/>
              <w:tr2bl w:val="nil"/>
            </w:tcBorders>
            <w:vAlign w:val="center"/>
          </w:tcPr>
          <w:p>
            <w:pPr>
              <w:overflowPunct w:val="0"/>
              <w:adjustRightInd w:val="0"/>
              <w:snapToGrid w:val="0"/>
              <w:jc w:val="left"/>
              <w:rPr>
                <w:rFonts w:ascii="仿宋_GB2312" w:eastAsia="仿宋_GB2312"/>
                <w:sz w:val="20"/>
                <w:szCs w:val="20"/>
              </w:rPr>
            </w:pPr>
            <w:r>
              <w:rPr>
                <w:rFonts w:hint="eastAsia" w:ascii="仿宋_GB2312" w:eastAsia="仿宋_GB2312"/>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设施修缮</w:t>
            </w:r>
          </w:p>
          <w:p>
            <w:pPr>
              <w:overflowPunct w:val="0"/>
              <w:adjustRightInd w:val="0"/>
              <w:snapToGrid w:val="0"/>
              <w:jc w:val="center"/>
              <w:rPr>
                <w:rFonts w:ascii="仿宋_GB2312" w:eastAsia="仿宋_GB2312"/>
                <w:sz w:val="20"/>
                <w:szCs w:val="20"/>
              </w:rPr>
            </w:pPr>
            <w:r>
              <w:rPr>
                <w:rFonts w:hint="eastAsia" w:ascii="仿宋_GB2312" w:eastAsia="仿宋_GB2312"/>
                <w:sz w:val="20"/>
                <w:szCs w:val="20"/>
              </w:rPr>
              <w:t>合格率</w:t>
            </w:r>
          </w:p>
        </w:tc>
        <w:tc>
          <w:tcPr>
            <w:tcW w:w="543"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w:t>
            </w:r>
          </w:p>
        </w:tc>
        <w:tc>
          <w:tcPr>
            <w:tcW w:w="488"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100</w:t>
            </w:r>
          </w:p>
        </w:tc>
        <w:tc>
          <w:tcPr>
            <w:tcW w:w="573"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百分比</w:t>
            </w:r>
          </w:p>
        </w:tc>
        <w:tc>
          <w:tcPr>
            <w:tcW w:w="1277"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巡察</w:t>
            </w:r>
          </w:p>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时间</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考察每轮巡察时间长度</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月</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jc w:val="center"/>
              <w:rPr>
                <w:rFonts w:ascii="仿宋_GB2312" w:eastAsia="仿宋_GB2312"/>
                <w:sz w:val="20"/>
                <w:szCs w:val="20"/>
              </w:rPr>
            </w:pPr>
            <w:r>
              <w:rPr>
                <w:rFonts w:hint="eastAsia" w:ascii="仿宋_GB2312" w:eastAsia="仿宋_GB2312"/>
                <w:sz w:val="20"/>
                <w:szCs w:val="20"/>
              </w:rPr>
              <w:t>及时率</w:t>
            </w:r>
          </w:p>
        </w:tc>
        <w:tc>
          <w:tcPr>
            <w:tcW w:w="2172" w:type="dxa"/>
            <w:tcBorders>
              <w:tl2br w:val="nil"/>
              <w:tr2bl w:val="nil"/>
            </w:tcBorders>
            <w:vAlign w:val="center"/>
          </w:tcPr>
          <w:p>
            <w:pPr>
              <w:overflowPunct w:val="0"/>
              <w:adjustRightInd w:val="0"/>
              <w:snapToGrid w:val="0"/>
              <w:jc w:val="left"/>
              <w:rPr>
                <w:rFonts w:ascii="仿宋_GB2312" w:eastAsia="仿宋_GB2312"/>
                <w:sz w:val="20"/>
                <w:szCs w:val="20"/>
              </w:rPr>
            </w:pPr>
            <w:r>
              <w:rPr>
                <w:rFonts w:hint="eastAsia" w:ascii="仿宋_GB2312" w:eastAsia="仿宋_GB2312"/>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办案保障设备供货及时性</w:t>
            </w:r>
          </w:p>
        </w:tc>
        <w:tc>
          <w:tcPr>
            <w:tcW w:w="543"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文字</w:t>
            </w:r>
          </w:p>
          <w:p>
            <w:pPr>
              <w:overflowPunct w:val="0"/>
              <w:adjustRightInd w:val="0"/>
              <w:snapToGrid w:val="0"/>
              <w:jc w:val="center"/>
              <w:rPr>
                <w:rFonts w:ascii="仿宋_GB2312" w:eastAsia="仿宋_GB2312"/>
                <w:sz w:val="20"/>
                <w:szCs w:val="20"/>
              </w:rPr>
            </w:pPr>
            <w:r>
              <w:rPr>
                <w:rFonts w:hint="eastAsia" w:ascii="仿宋_GB2312" w:eastAsia="仿宋_GB2312"/>
                <w:sz w:val="20"/>
                <w:szCs w:val="20"/>
              </w:rPr>
              <w:t>描述</w:t>
            </w:r>
          </w:p>
        </w:tc>
        <w:tc>
          <w:tcPr>
            <w:tcW w:w="488" w:type="dxa"/>
            <w:tcBorders>
              <w:tl2br w:val="nil"/>
              <w:tr2bl w:val="nil"/>
            </w:tcBorders>
            <w:vAlign w:val="center"/>
          </w:tcPr>
          <w:p>
            <w:pPr>
              <w:overflowPunct w:val="0"/>
              <w:adjustRightInd w:val="0"/>
              <w:snapToGrid w:val="0"/>
              <w:jc w:val="center"/>
              <w:rPr>
                <w:rFonts w:ascii="仿宋_GB2312" w:eastAsia="仿宋_GB2312"/>
                <w:sz w:val="20"/>
                <w:szCs w:val="20"/>
              </w:rPr>
            </w:pPr>
          </w:p>
        </w:tc>
        <w:tc>
          <w:tcPr>
            <w:tcW w:w="573"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6月底之前完成验收</w:t>
            </w:r>
          </w:p>
        </w:tc>
        <w:tc>
          <w:tcPr>
            <w:tcW w:w="1277"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公用经费控制率</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“三公”经费决算数、日常公用经费决算数均小于调整预算数。</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预算文本、决算报表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overflowPunct w:val="0"/>
              <w:adjustRightInd w:val="0"/>
              <w:snapToGrid w:val="0"/>
              <w:rPr>
                <w:rFonts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部门</w:t>
            </w:r>
          </w:p>
          <w:p>
            <w:r>
              <w:rPr>
                <w:rFonts w:hint="eastAsia" w:ascii="方正书宋_GBK" w:hAnsi="仿宋_GB2312" w:eastAsia="方正书宋_GBK" w:cs="仿宋_GB2312"/>
                <w:kern w:val="0"/>
                <w:sz w:val="20"/>
                <w:szCs w:val="20"/>
              </w:rPr>
              <w:t>效果</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廊坊市纪委监委网站点击率</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网站点击率不低于150万</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万</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纪委监委信息化安全性</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全年不出现任何信息安全问题</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文字</w:t>
            </w:r>
          </w:p>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描述</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绝对</w:t>
            </w:r>
          </w:p>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安全</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整治腐败和不正之风</w:t>
            </w:r>
          </w:p>
        </w:tc>
        <w:tc>
          <w:tcPr>
            <w:tcW w:w="2172" w:type="dxa"/>
            <w:tcBorders>
              <w:tl2br w:val="nil"/>
              <w:tr2bl w:val="nil"/>
            </w:tcBorders>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整治群众身边腐败和不正之风</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文字</w:t>
            </w:r>
          </w:p>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描述</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提升</w:t>
            </w:r>
          </w:p>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整治</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部门总结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满足办案人员需求</w:t>
            </w:r>
            <w:r>
              <w:rPr>
                <w:rFonts w:ascii="仿宋_GB2312" w:eastAsia="仿宋_GB2312"/>
                <w:sz w:val="20"/>
                <w:szCs w:val="20"/>
              </w:rPr>
              <w:t>　</w:t>
            </w:r>
          </w:p>
        </w:tc>
        <w:tc>
          <w:tcPr>
            <w:tcW w:w="2172" w:type="dxa"/>
            <w:tcBorders>
              <w:tl2br w:val="nil"/>
              <w:tr2bl w:val="nil"/>
            </w:tcBorders>
            <w:vAlign w:val="center"/>
          </w:tcPr>
          <w:p>
            <w:pPr>
              <w:overflowPunct w:val="0"/>
              <w:rPr>
                <w:rFonts w:ascii="仿宋_GB2312" w:eastAsia="仿宋_GB2312"/>
                <w:sz w:val="20"/>
                <w:szCs w:val="20"/>
              </w:rPr>
            </w:pPr>
            <w:r>
              <w:rPr>
                <w:rFonts w:hint="eastAsia" w:ascii="仿宋_GB2312" w:eastAsia="仿宋_GB2312"/>
                <w:sz w:val="20"/>
                <w:szCs w:val="20"/>
              </w:rPr>
              <w:t>达到标准得满分，否则不得分。</w:t>
            </w:r>
          </w:p>
        </w:tc>
        <w:tc>
          <w:tcPr>
            <w:tcW w:w="1483"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满足驻点办案单位需求</w:t>
            </w:r>
          </w:p>
        </w:tc>
        <w:tc>
          <w:tcPr>
            <w:tcW w:w="543"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文字</w:t>
            </w:r>
          </w:p>
          <w:p>
            <w:pPr>
              <w:overflowPunct w:val="0"/>
              <w:adjustRightInd w:val="0"/>
              <w:snapToGrid w:val="0"/>
              <w:jc w:val="center"/>
              <w:rPr>
                <w:rFonts w:ascii="仿宋_GB2312" w:eastAsia="仿宋_GB2312"/>
                <w:sz w:val="20"/>
                <w:szCs w:val="20"/>
              </w:rPr>
            </w:pPr>
            <w:r>
              <w:rPr>
                <w:rFonts w:hint="eastAsia" w:ascii="仿宋_GB2312" w:eastAsia="仿宋_GB2312"/>
                <w:sz w:val="20"/>
                <w:szCs w:val="20"/>
              </w:rPr>
              <w:t>描述</w:t>
            </w:r>
          </w:p>
        </w:tc>
        <w:tc>
          <w:tcPr>
            <w:tcW w:w="488" w:type="dxa"/>
            <w:tcBorders>
              <w:tl2br w:val="nil"/>
              <w:tr2bl w:val="nil"/>
            </w:tcBorders>
            <w:vAlign w:val="center"/>
          </w:tcPr>
          <w:p>
            <w:pPr>
              <w:overflowPunct w:val="0"/>
              <w:adjustRightInd w:val="0"/>
              <w:snapToGrid w:val="0"/>
              <w:jc w:val="center"/>
              <w:rPr>
                <w:rFonts w:ascii="仿宋_GB2312" w:eastAsia="仿宋_GB2312"/>
                <w:sz w:val="20"/>
                <w:szCs w:val="20"/>
              </w:rPr>
            </w:pPr>
          </w:p>
        </w:tc>
        <w:tc>
          <w:tcPr>
            <w:tcW w:w="573"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满足</w:t>
            </w:r>
          </w:p>
          <w:p>
            <w:pPr>
              <w:overflowPunct w:val="0"/>
              <w:adjustRightInd w:val="0"/>
              <w:snapToGrid w:val="0"/>
              <w:jc w:val="center"/>
              <w:rPr>
                <w:rFonts w:ascii="仿宋_GB2312" w:eastAsia="仿宋_GB2312"/>
                <w:sz w:val="20"/>
                <w:szCs w:val="20"/>
              </w:rPr>
            </w:pPr>
            <w:r>
              <w:rPr>
                <w:rFonts w:hint="eastAsia" w:ascii="仿宋_GB2312" w:eastAsia="仿宋_GB2312"/>
                <w:sz w:val="20"/>
                <w:szCs w:val="20"/>
              </w:rPr>
              <w:t>需求</w:t>
            </w:r>
          </w:p>
        </w:tc>
        <w:tc>
          <w:tcPr>
            <w:tcW w:w="1277" w:type="dxa"/>
            <w:tcBorders>
              <w:tl2br w:val="nil"/>
              <w:tr2bl w:val="nil"/>
            </w:tcBorders>
            <w:vAlign w:val="center"/>
          </w:tcPr>
          <w:p>
            <w:pPr>
              <w:overflowPunct w:val="0"/>
              <w:adjustRightInd w:val="0"/>
              <w:snapToGrid w:val="0"/>
              <w:jc w:val="center"/>
              <w:rPr>
                <w:rFonts w:ascii="仿宋_GB2312" w:eastAsia="仿宋_GB2312"/>
                <w:sz w:val="20"/>
                <w:szCs w:val="20"/>
              </w:rPr>
            </w:pPr>
            <w:r>
              <w:rPr>
                <w:rFonts w:hint="eastAsia" w:ascii="仿宋_GB2312" w:eastAsia="仿宋_GB2312"/>
                <w:sz w:val="20"/>
                <w:szCs w:val="20"/>
              </w:rPr>
              <w:t>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社会群众的满意度</w:t>
            </w:r>
          </w:p>
        </w:tc>
        <w:tc>
          <w:tcPr>
            <w:tcW w:w="2172" w:type="dxa"/>
            <w:tcBorders>
              <w:tl2br w:val="nil"/>
              <w:tr2bl w:val="nil"/>
            </w:tcBorders>
            <w:noWrap/>
            <w:vAlign w:val="center"/>
          </w:tcPr>
          <w:p>
            <w:pPr>
              <w:overflowPunct w:val="0"/>
              <w:adjustRightInd w:val="0"/>
              <w:snapToGrid w:val="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达到标准得满分，每降低10%，扣权重分数的10%，扣完为止。</w:t>
            </w:r>
          </w:p>
        </w:tc>
        <w:tc>
          <w:tcPr>
            <w:tcW w:w="1483" w:type="dxa"/>
            <w:tcBorders>
              <w:tl2br w:val="nil"/>
              <w:tr2bl w:val="nil"/>
            </w:tcBorders>
            <w:noWrap/>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对纪检监察工作的满意度</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pPr>
              <w:adjustRightInd w:val="0"/>
              <w:snapToGrid w:val="0"/>
              <w:jc w:val="center"/>
              <w:rPr>
                <w:rFonts w:ascii="方正书宋_GBK" w:eastAsia="方正书宋_GBK"/>
              </w:rPr>
            </w:pPr>
          </w:p>
        </w:tc>
        <w:tc>
          <w:tcPr>
            <w:tcW w:w="897" w:type="dxa"/>
            <w:tcBorders>
              <w:tl2br w:val="nil"/>
              <w:tr2bl w:val="nil"/>
            </w:tcBorders>
            <w:noWrap/>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专案人员满意度</w:t>
            </w:r>
          </w:p>
        </w:tc>
        <w:tc>
          <w:tcPr>
            <w:tcW w:w="2172" w:type="dxa"/>
            <w:tcBorders>
              <w:tl2br w:val="nil"/>
              <w:tr2bl w:val="nil"/>
            </w:tcBorders>
            <w:noWrap/>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达到标准得满分，每降低10%，扣权重分数的10%，扣完为止。</w:t>
            </w:r>
          </w:p>
        </w:tc>
        <w:tc>
          <w:tcPr>
            <w:tcW w:w="1483" w:type="dxa"/>
            <w:tcBorders>
              <w:tl2br w:val="nil"/>
              <w:tr2bl w:val="nil"/>
            </w:tcBorders>
            <w:noWrap/>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办案人员对中心的满意度</w:t>
            </w:r>
          </w:p>
        </w:tc>
        <w:tc>
          <w:tcPr>
            <w:tcW w:w="54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8"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90</w:t>
            </w:r>
          </w:p>
        </w:tc>
        <w:tc>
          <w:tcPr>
            <w:tcW w:w="573"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百分比</w:t>
            </w:r>
          </w:p>
        </w:tc>
        <w:tc>
          <w:tcPr>
            <w:tcW w:w="1277" w:type="dxa"/>
            <w:tcBorders>
              <w:tl2br w:val="nil"/>
              <w:tr2bl w:val="nil"/>
            </w:tcBorders>
            <w:vAlign w:val="center"/>
          </w:tcPr>
          <w:p>
            <w:pPr>
              <w:overflowPunct w:val="0"/>
              <w:adjustRightInd w:val="0"/>
              <w:snapToGrid w:val="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rPr>
        <w:t xml:space="preserve"> </w:t>
      </w:r>
      <w:r>
        <w:rPr>
          <w:rFonts w:hint="eastAsia" w:ascii="Times New Roman" w:hAnsi="Times New Roman" w:eastAsia="仿宋_GB2312" w:cs="Times New Roman"/>
          <w:sz w:val="28"/>
        </w:rPr>
        <w:t>机关工作经费</w:t>
      </w:r>
      <w:r>
        <w:rPr>
          <w:rFonts w:ascii="Times New Roman" w:hAnsi="Times New Roman" w:eastAsia="仿宋_GB2312" w:cs="Times New Roman"/>
          <w:sz w:val="28"/>
        </w:rPr>
        <w:t>绩效目标表</w:t>
      </w:r>
      <w:bookmarkStart w:id="0" w:name="_Toc29799657"/>
      <w:bookmarkEnd w:id="0"/>
    </w:p>
    <w:p>
      <w:pPr>
        <w:spacing w:line="58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2746"/>
        <w:gridCol w:w="2499"/>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ascii="Times New Roman" w:hAnsi="Times New Roman" w:eastAsia="仿宋_GB2312" w:cs="Times New Roman"/>
              </w:rPr>
            </w:pPr>
            <w:r>
              <w:rPr>
                <w:rFonts w:hint="eastAsia" w:ascii="Times New Roman" w:hAnsi="Times New Roman" w:eastAsia="仿宋_GB2312" w:cs="Times New Roman"/>
              </w:rPr>
              <w:t>保障机关工作正常运转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74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49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数量指标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会议的数量</w:t>
            </w:r>
          </w:p>
        </w:tc>
        <w:tc>
          <w:tcPr>
            <w:tcW w:w="2746"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全年召开会议的次数</w:t>
            </w:r>
          </w:p>
        </w:tc>
        <w:tc>
          <w:tcPr>
            <w:tcW w:w="2499"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≥4次</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质量指标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机关完全性</w:t>
            </w:r>
          </w:p>
        </w:tc>
        <w:tc>
          <w:tcPr>
            <w:tcW w:w="2746"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单位安全率</w:t>
            </w:r>
          </w:p>
        </w:tc>
        <w:tc>
          <w:tcPr>
            <w:tcW w:w="2499" w:type="dxa"/>
            <w:shd w:val="clear" w:color="auto" w:fill="auto"/>
            <w:vAlign w:val="center"/>
          </w:tcPr>
          <w:p>
            <w:pPr>
              <w:jc w:val="center"/>
              <w:rPr>
                <w:rFonts w:ascii="仿宋_GB2312" w:eastAsia="仿宋_GB2312" w:cs="宋体"/>
                <w:color w:val="000000"/>
                <w:szCs w:val="21"/>
              </w:rPr>
            </w:pPr>
            <w:r>
              <w:rPr>
                <w:rFonts w:ascii="仿宋_GB2312" w:eastAsia="仿宋_GB2312"/>
                <w:color w:val="000000"/>
                <w:szCs w:val="21"/>
              </w:rPr>
              <w:t>=</w:t>
            </w: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时效指标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及时性</w:t>
            </w:r>
          </w:p>
        </w:tc>
        <w:tc>
          <w:tcPr>
            <w:tcW w:w="2746"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车辆保险缴纳的及时性</w:t>
            </w:r>
          </w:p>
        </w:tc>
        <w:tc>
          <w:tcPr>
            <w:tcW w:w="2499" w:type="dxa"/>
            <w:shd w:val="clear" w:color="auto" w:fill="auto"/>
            <w:vAlign w:val="center"/>
          </w:tcPr>
          <w:p>
            <w:pPr>
              <w:jc w:val="center"/>
              <w:rPr>
                <w:rFonts w:ascii="仿宋_GB2312" w:eastAsia="仿宋_GB2312" w:cs="宋体"/>
                <w:color w:val="000000"/>
                <w:szCs w:val="21"/>
              </w:rPr>
            </w:pPr>
            <w:r>
              <w:rPr>
                <w:rFonts w:hint="eastAsia" w:ascii="仿宋_GB2312" w:eastAsia="仿宋_GB2312" w:cs="宋体"/>
                <w:color w:val="000000"/>
                <w:szCs w:val="21"/>
              </w:rPr>
              <w:t>及时，不逾期</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成本指标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w:t>
            </w:r>
          </w:p>
        </w:tc>
        <w:tc>
          <w:tcPr>
            <w:tcW w:w="2746"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每辆车的保险成本</w:t>
            </w:r>
          </w:p>
        </w:tc>
        <w:tc>
          <w:tcPr>
            <w:tcW w:w="2499"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≤4500元/年</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3"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社会效益指标</w:t>
            </w:r>
          </w:p>
        </w:tc>
        <w:tc>
          <w:tcPr>
            <w:tcW w:w="198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保障机关正常运转</w:t>
            </w:r>
          </w:p>
        </w:tc>
        <w:tc>
          <w:tcPr>
            <w:tcW w:w="274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保障机关正常运转</w:t>
            </w:r>
          </w:p>
        </w:tc>
        <w:tc>
          <w:tcPr>
            <w:tcW w:w="249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保障机关正常运转</w:t>
            </w:r>
          </w:p>
        </w:tc>
        <w:tc>
          <w:tcPr>
            <w:tcW w:w="215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服务对象满意度指标</w:t>
            </w:r>
          </w:p>
        </w:tc>
        <w:tc>
          <w:tcPr>
            <w:tcW w:w="198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干部职工的满意度</w:t>
            </w:r>
          </w:p>
        </w:tc>
        <w:tc>
          <w:tcPr>
            <w:tcW w:w="274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干部职工的满意度</w:t>
            </w:r>
          </w:p>
        </w:tc>
        <w:tc>
          <w:tcPr>
            <w:tcW w:w="249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≥90%</w:t>
            </w:r>
          </w:p>
        </w:tc>
        <w:tc>
          <w:tcPr>
            <w:tcW w:w="215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rPr>
        <w:t xml:space="preserve"> </w:t>
      </w:r>
      <w:r>
        <w:rPr>
          <w:rFonts w:hint="eastAsia" w:ascii="Times New Roman" w:hAnsi="Times New Roman" w:eastAsia="仿宋_GB2312" w:cs="Times New Roman"/>
          <w:sz w:val="28"/>
        </w:rPr>
        <w:t>劳务保障专项经费</w:t>
      </w:r>
      <w:r>
        <w:rPr>
          <w:rFonts w:ascii="Times New Roman" w:hAnsi="Times New Roman" w:eastAsia="仿宋_GB2312" w:cs="Times New Roman"/>
          <w:sz w:val="28"/>
        </w:rPr>
        <w:t>绩效目标表</w:t>
      </w:r>
    </w:p>
    <w:p>
      <w:pPr>
        <w:spacing w:line="584" w:lineRule="exact"/>
        <w:ind w:firstLine="420" w:firstLineChars="200"/>
        <w:jc w:val="left"/>
        <w:outlineLvl w:val="1"/>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ascii="Times New Roman" w:hAnsi="Times New Roman" w:eastAsia="仿宋_GB2312" w:cs="Times New Roman"/>
              </w:rPr>
            </w:pPr>
            <w:r>
              <w:rPr>
                <w:rFonts w:hint="eastAsia" w:ascii="Times New Roman" w:hAnsi="Times New Roman" w:eastAsia="仿宋_GB2312" w:cs="Times New Roman"/>
              </w:rPr>
              <w:t>通过聘用劳务派遣人员，保障市纪委机关工作正常开展。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数量指标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聘用派遣人员数量</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聘用派遣人员数量</w:t>
            </w:r>
          </w:p>
        </w:tc>
        <w:tc>
          <w:tcPr>
            <w:tcW w:w="1843"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≤35人</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质量指标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安全率</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司机驾驶安全率</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时效指标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出车及时性</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出车及时性</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成本指标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派遣司机劳务成本</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派遣司机劳务成本</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≤4500元/月</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工资明细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社会效益指标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保障市纪委机关工作正常运转</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保障市纪委机关工作正常运转</w:t>
            </w:r>
          </w:p>
        </w:tc>
        <w:tc>
          <w:tcPr>
            <w:tcW w:w="1843" w:type="dxa"/>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保障市纪委机关工作正常运转</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服务对象满意度指标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干部职工满意度</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干部职工满意度</w:t>
            </w:r>
          </w:p>
        </w:tc>
        <w:tc>
          <w:tcPr>
            <w:tcW w:w="1843"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≥90%</w:t>
            </w:r>
          </w:p>
        </w:tc>
        <w:tc>
          <w:tcPr>
            <w:tcW w:w="215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 纪检监察人员体检专项经费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ascii="Times New Roman" w:hAnsi="Times New Roman" w:eastAsia="仿宋_GB2312" w:cs="Times New Roman"/>
              </w:rPr>
            </w:pPr>
            <w:r>
              <w:rPr>
                <w:rFonts w:hint="eastAsia" w:ascii="Times New Roman" w:hAnsi="Times New Roman" w:eastAsia="仿宋_GB2312" w:cs="Times New Roman"/>
              </w:rPr>
              <w:t>通过开展健康体检，干部职工能够及时了解自身的健康状况，保障身体健康。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产出指标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数量指标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体检人数</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体检人数</w:t>
            </w:r>
          </w:p>
        </w:tc>
        <w:tc>
          <w:tcPr>
            <w:tcW w:w="1843"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≤350人</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质量指标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医疗水平</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医院符合三甲医院</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符合三甲医院</w:t>
            </w:r>
          </w:p>
        </w:tc>
        <w:tc>
          <w:tcPr>
            <w:tcW w:w="2155"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工作结果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时效指标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及时率</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10月底前开展</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成本指标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体检成本</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≤35万元</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效果指标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社会效益指标</w:t>
            </w:r>
          </w:p>
        </w:tc>
        <w:tc>
          <w:tcPr>
            <w:tcW w:w="1985" w:type="dxa"/>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保障干部职工</w:t>
            </w:r>
          </w:p>
          <w:p>
            <w:pPr>
              <w:jc w:val="center"/>
              <w:rPr>
                <w:rFonts w:ascii="仿宋_GB2312" w:eastAsia="仿宋_GB2312" w:cs="宋体"/>
                <w:color w:val="000000"/>
                <w:szCs w:val="21"/>
              </w:rPr>
            </w:pPr>
            <w:r>
              <w:rPr>
                <w:rFonts w:hint="eastAsia" w:ascii="仿宋_GB2312" w:eastAsia="仿宋_GB2312"/>
                <w:color w:val="000000"/>
                <w:szCs w:val="21"/>
              </w:rPr>
              <w:t>身体健康</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保障干部职工身体健康</w:t>
            </w:r>
          </w:p>
        </w:tc>
        <w:tc>
          <w:tcPr>
            <w:tcW w:w="1843" w:type="dxa"/>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保障干部职工</w:t>
            </w:r>
          </w:p>
          <w:p>
            <w:pPr>
              <w:jc w:val="center"/>
              <w:rPr>
                <w:rFonts w:ascii="仿宋_GB2312" w:hAnsi="Times New Roman" w:eastAsia="仿宋_GB2312" w:cs="Times New Roman"/>
                <w:szCs w:val="21"/>
              </w:rPr>
            </w:pPr>
            <w:r>
              <w:rPr>
                <w:rFonts w:hint="eastAsia" w:ascii="仿宋_GB2312" w:eastAsia="仿宋_GB2312"/>
                <w:color w:val="000000"/>
                <w:szCs w:val="21"/>
              </w:rPr>
              <w:t>身体健康</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满意度指标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服务对象满意度指标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干部职工的满意度</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干部职工的满意度</w:t>
            </w:r>
          </w:p>
        </w:tc>
        <w:tc>
          <w:tcPr>
            <w:tcW w:w="1843"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≥90%</w:t>
            </w:r>
          </w:p>
        </w:tc>
        <w:tc>
          <w:tcPr>
            <w:tcW w:w="215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hint="eastAsia"/>
        </w:rPr>
        <w:t xml:space="preserve"> </w:t>
      </w:r>
      <w:r>
        <w:rPr>
          <w:rFonts w:hint="eastAsia" w:ascii="Times New Roman" w:hAnsi="Times New Roman" w:eastAsia="仿宋_GB2312" w:cs="Times New Roman"/>
          <w:sz w:val="28"/>
        </w:rPr>
        <w:t>纪检监察信息化运行维护专项经费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313"/>
        <w:gridCol w:w="1932"/>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jc w:val="left"/>
              <w:rPr>
                <w:rFonts w:ascii="Times New Roman" w:hAnsi="Times New Roman" w:eastAsia="仿宋_GB2312" w:cs="Times New Roman"/>
              </w:rPr>
            </w:pPr>
            <w:r>
              <w:rPr>
                <w:rFonts w:hint="eastAsia" w:ascii="仿宋_GB2312" w:eastAsia="仿宋_GB2312"/>
                <w:color w:val="000000"/>
                <w:szCs w:val="21"/>
              </w:rPr>
              <w:t>通过廊坊市纪委监委信息化建设，切实增强纪检监察工作的信息化水平，进一步强化网络安全工作、网络保障工作、视频保障工作等信息化工作。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31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93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产出指标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数量指标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人员数量</w:t>
            </w:r>
          </w:p>
        </w:tc>
        <w:tc>
          <w:tcPr>
            <w:tcW w:w="331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聘用人员数量</w:t>
            </w:r>
          </w:p>
        </w:tc>
        <w:tc>
          <w:tcPr>
            <w:tcW w:w="193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=4人</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质量指标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安全率</w:t>
            </w:r>
          </w:p>
        </w:tc>
        <w:tc>
          <w:tcPr>
            <w:tcW w:w="331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纪委监委网站不被恶意攻击、篡改</w:t>
            </w:r>
          </w:p>
        </w:tc>
        <w:tc>
          <w:tcPr>
            <w:tcW w:w="193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时效指标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及时率</w:t>
            </w:r>
          </w:p>
        </w:tc>
        <w:tc>
          <w:tcPr>
            <w:tcW w:w="331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在10月底前完成等保、分保测评工作</w:t>
            </w:r>
          </w:p>
        </w:tc>
        <w:tc>
          <w:tcPr>
            <w:tcW w:w="193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成本指标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w:t>
            </w:r>
          </w:p>
        </w:tc>
        <w:tc>
          <w:tcPr>
            <w:tcW w:w="331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网站等保测评资金成本</w:t>
            </w:r>
          </w:p>
        </w:tc>
        <w:tc>
          <w:tcPr>
            <w:tcW w:w="193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≤9万元</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效果指标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社会效益指标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廊坊市纪委监委网站点击率</w:t>
            </w:r>
          </w:p>
        </w:tc>
        <w:tc>
          <w:tcPr>
            <w:tcW w:w="331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廊坊市纪委监委网站点击率</w:t>
            </w:r>
          </w:p>
        </w:tc>
        <w:tc>
          <w:tcPr>
            <w:tcW w:w="1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≥150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万次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满意度指标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服务对象满意度指标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干部职工的满意度</w:t>
            </w:r>
          </w:p>
        </w:tc>
        <w:tc>
          <w:tcPr>
            <w:tcW w:w="331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干部职工对信息化工作的满意度</w:t>
            </w:r>
          </w:p>
        </w:tc>
        <w:tc>
          <w:tcPr>
            <w:tcW w:w="1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≥90%</w:t>
            </w:r>
          </w:p>
        </w:tc>
        <w:tc>
          <w:tcPr>
            <w:tcW w:w="215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hint="eastAsia"/>
        </w:rPr>
        <w:t xml:space="preserve"> </w:t>
      </w:r>
      <w:r>
        <w:rPr>
          <w:rFonts w:hint="eastAsia" w:ascii="Times New Roman" w:hAnsi="Times New Roman" w:eastAsia="仿宋_GB2312" w:cs="Times New Roman"/>
          <w:sz w:val="28"/>
        </w:rPr>
        <w:t>监督检查和审查调查专项经费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2321"/>
        <w:gridCol w:w="1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jc w:val="left"/>
              <w:rPr>
                <w:rFonts w:ascii="Times New Roman" w:hAnsi="Times New Roman" w:eastAsia="仿宋_GB2312" w:cs="Times New Roman"/>
              </w:rPr>
            </w:pPr>
            <w:r>
              <w:rPr>
                <w:rFonts w:hint="eastAsia" w:ascii="仿宋_GB2312" w:eastAsia="仿宋_GB2312"/>
                <w:color w:val="000000"/>
                <w:szCs w:val="21"/>
              </w:rPr>
              <w:t>2022年，立足“不敢”，始终保持“惩”的有力威慑；立足“不能”，着力强化“治”的综合效能；立足“不想”，充分释放“警”的预防作用。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32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67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产出指标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数量指标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留置目标人数</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留置目标人数</w:t>
            </w:r>
          </w:p>
        </w:tc>
        <w:tc>
          <w:tcPr>
            <w:tcW w:w="2321"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≥20人</w:t>
            </w:r>
          </w:p>
        </w:tc>
        <w:tc>
          <w:tcPr>
            <w:tcW w:w="1677"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质量指标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安全率</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留置工作全年安全，无事故</w:t>
            </w:r>
          </w:p>
        </w:tc>
        <w:tc>
          <w:tcPr>
            <w:tcW w:w="2321"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1677"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时效指标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留置期限</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留置目标在规定时限内</w:t>
            </w:r>
          </w:p>
        </w:tc>
        <w:tc>
          <w:tcPr>
            <w:tcW w:w="2321"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≤180天</w:t>
            </w:r>
          </w:p>
        </w:tc>
        <w:tc>
          <w:tcPr>
            <w:tcW w:w="1677"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成本指标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资金成本控制在预算内</w:t>
            </w:r>
          </w:p>
        </w:tc>
        <w:tc>
          <w:tcPr>
            <w:tcW w:w="2321"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资金成本控制在预算内</w:t>
            </w:r>
          </w:p>
        </w:tc>
        <w:tc>
          <w:tcPr>
            <w:tcW w:w="1677"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效果指标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社会效益指标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保障纪检监察工作</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保障纪检监察工作</w:t>
            </w:r>
          </w:p>
        </w:tc>
        <w:tc>
          <w:tcPr>
            <w:tcW w:w="2321"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保障纪检监察工作</w:t>
            </w:r>
          </w:p>
        </w:tc>
        <w:tc>
          <w:tcPr>
            <w:tcW w:w="1677"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满意度指标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服务对象满意度指标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社会群众对纪检监察工作的满意度</w:t>
            </w:r>
          </w:p>
        </w:tc>
        <w:tc>
          <w:tcPr>
            <w:tcW w:w="3402" w:type="dxa"/>
            <w:shd w:val="clear" w:color="auto" w:fill="auto"/>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社会群众对纪检监察工作的满意度</w:t>
            </w:r>
          </w:p>
        </w:tc>
        <w:tc>
          <w:tcPr>
            <w:tcW w:w="2321"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≥90%</w:t>
            </w:r>
          </w:p>
        </w:tc>
        <w:tc>
          <w:tcPr>
            <w:tcW w:w="1677"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hint="eastAsia"/>
        </w:rPr>
        <w:t xml:space="preserve"> </w:t>
      </w:r>
      <w:r>
        <w:rPr>
          <w:rFonts w:hint="eastAsia" w:ascii="Times New Roman" w:hAnsi="Times New Roman" w:eastAsia="仿宋_GB2312" w:cs="Times New Roman"/>
          <w:sz w:val="28"/>
        </w:rPr>
        <w:t>内网设备购置及电子数据恢复取证系统建设经费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ascii="Times New Roman" w:hAnsi="Times New Roman" w:eastAsia="仿宋_GB2312" w:cs="Times New Roman"/>
              </w:rPr>
            </w:pPr>
            <w:r>
              <w:rPr>
                <w:rFonts w:hint="eastAsia" w:ascii="Times New Roman" w:hAnsi="Times New Roman" w:eastAsia="仿宋_GB2312" w:cs="Times New Roman"/>
              </w:rPr>
              <w:t>建设市纪委电子数据恢复取证系统，满足我委审查调查工作需求。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jc w:val="center"/>
        </w:trPr>
        <w:tc>
          <w:tcPr>
            <w:tcW w:w="2409" w:type="dxa"/>
            <w:vMerge w:val="restart"/>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产出指标</w:t>
            </w:r>
          </w:p>
        </w:tc>
        <w:tc>
          <w:tcPr>
            <w:tcW w:w="2268" w:type="dxa"/>
            <w:vMerge w:val="restart"/>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数量指标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内网电脑的数量</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采购内网电脑的数量</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=16台</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continue"/>
            <w:shd w:val="clear" w:color="auto" w:fill="auto"/>
            <w:vAlign w:val="center"/>
          </w:tcPr>
          <w:p>
            <w:pPr>
              <w:spacing w:line="584" w:lineRule="exact"/>
              <w:jc w:val="center"/>
              <w:rPr>
                <w:rFonts w:ascii="仿宋_GB2312" w:hAnsi="Times New Roman" w:eastAsia="仿宋_GB2312" w:cs="Times New Roman"/>
                <w:szCs w:val="21"/>
              </w:rPr>
            </w:pPr>
          </w:p>
        </w:tc>
        <w:tc>
          <w:tcPr>
            <w:tcW w:w="2268" w:type="dxa"/>
            <w:vMerge w:val="continue"/>
            <w:shd w:val="clear" w:color="auto" w:fill="auto"/>
            <w:vAlign w:val="center"/>
          </w:tcPr>
          <w:p>
            <w:pPr>
              <w:jc w:val="center"/>
              <w:rPr>
                <w:rFonts w:ascii="仿宋_GB2312" w:eastAsia="仿宋_GB2312"/>
                <w:szCs w:val="21"/>
              </w:rPr>
            </w:pP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内网打印机的数量</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采购内网打印机的数量</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=3台</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质量指标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设备验收合格率</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设备验收合格率</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验收采购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时效指标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及时率</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供货及时性，符合合同规定。</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vMerge w:val="restart"/>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成本指标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内网电脑成本</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≤1.7万元/台</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vMerge w:val="continue"/>
            <w:shd w:val="clear" w:color="auto" w:fill="auto"/>
            <w:vAlign w:val="center"/>
          </w:tcPr>
          <w:p>
            <w:pPr>
              <w:jc w:val="center"/>
              <w:rPr>
                <w:rFonts w:ascii="仿宋_GB2312" w:eastAsia="仿宋_GB2312"/>
                <w:szCs w:val="21"/>
              </w:rPr>
            </w:pP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内网打印机成本</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≤0.24万元/台</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效果指标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社会效益指标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保障纪检监察工作、巡视巡察工作顺利开展</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保障纪检监察工作、巡视巡察工作顺利开展</w:t>
            </w:r>
          </w:p>
        </w:tc>
        <w:tc>
          <w:tcPr>
            <w:tcW w:w="1843" w:type="dxa"/>
            <w:shd w:val="clear" w:color="auto" w:fill="auto"/>
            <w:vAlign w:val="center"/>
          </w:tcPr>
          <w:p>
            <w:pPr>
              <w:jc w:val="center"/>
              <w:rPr>
                <w:rFonts w:ascii="仿宋_GB2312" w:eastAsia="仿宋_GB2312"/>
                <w:color w:val="000000"/>
                <w:szCs w:val="21"/>
              </w:rPr>
            </w:pPr>
            <w:r>
              <w:rPr>
                <w:rFonts w:hint="eastAsia" w:ascii="仿宋_GB2312" w:eastAsia="仿宋_GB2312"/>
                <w:color w:val="000000"/>
                <w:szCs w:val="21"/>
              </w:rPr>
              <w:t>保障纪检监察工作、巡视巡察工作顺利开展</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满意度指标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服务对象满意度指标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服务对象的满意度</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干部职工的满意度</w:t>
            </w:r>
          </w:p>
        </w:tc>
        <w:tc>
          <w:tcPr>
            <w:tcW w:w="1843"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≥90%</w:t>
            </w:r>
          </w:p>
        </w:tc>
        <w:tc>
          <w:tcPr>
            <w:tcW w:w="215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hint="eastAsia"/>
        </w:rPr>
        <w:t xml:space="preserve"> </w:t>
      </w:r>
      <w:r>
        <w:rPr>
          <w:rFonts w:hint="eastAsia" w:ascii="Times New Roman" w:hAnsi="Times New Roman" w:eastAsia="仿宋_GB2312" w:cs="Times New Roman"/>
          <w:sz w:val="28"/>
        </w:rPr>
        <w:t>设备采购项目质保金</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ascii="Times New Roman" w:hAnsi="Times New Roman" w:eastAsia="仿宋_GB2312" w:cs="Times New Roman"/>
              </w:rPr>
            </w:pPr>
            <w:r>
              <w:rPr>
                <w:rFonts w:hint="eastAsia" w:ascii="Times New Roman" w:hAnsi="Times New Roman" w:eastAsia="仿宋_GB2312" w:cs="Times New Roman"/>
              </w:rPr>
              <w:t>支付质保金，完成相关项目的验收，履行合同约定。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产出指标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数量指标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项目个数</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支付的项目个数</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=15个</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质量指标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验收合格率</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项目验收的合格率</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验收成果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时效指标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及时性</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资金支付及时性，符合合同标准。</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成本指标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≤83.93万元</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效果指标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社会效益指标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保障纪检监察工作的开展</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保障纪检监察工作的开展</w:t>
            </w:r>
          </w:p>
        </w:tc>
        <w:tc>
          <w:tcPr>
            <w:tcW w:w="1843" w:type="dxa"/>
            <w:shd w:val="clear" w:color="auto" w:fill="auto"/>
            <w:vAlign w:val="center"/>
          </w:tcPr>
          <w:p>
            <w:pPr>
              <w:jc w:val="center"/>
              <w:rPr>
                <w:rFonts w:ascii="仿宋_GB2312" w:hAnsi="Times New Roman" w:eastAsia="仿宋_GB2312" w:cs="Times New Roman"/>
                <w:szCs w:val="21"/>
              </w:rPr>
            </w:pPr>
            <w:r>
              <w:rPr>
                <w:rFonts w:hint="eastAsia" w:ascii="仿宋_GB2312" w:eastAsia="仿宋_GB2312"/>
                <w:color w:val="000000"/>
                <w:szCs w:val="21"/>
              </w:rPr>
              <w:t>保障纪检监察工作的开展</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满意度指标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服务对象满意度指标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服务对象满意度</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第三方商家的满意度</w:t>
            </w:r>
          </w:p>
        </w:tc>
        <w:tc>
          <w:tcPr>
            <w:tcW w:w="1843"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≥90%</w:t>
            </w:r>
          </w:p>
        </w:tc>
        <w:tc>
          <w:tcPr>
            <w:tcW w:w="215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 新闻媒体宣传及《廊坊纪检监察》杂志编印专项经费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jc w:val="left"/>
              <w:rPr>
                <w:rFonts w:ascii="仿宋_GB2312" w:eastAsia="仿宋_GB2312"/>
                <w:color w:val="000000"/>
                <w:sz w:val="22"/>
              </w:rPr>
            </w:pPr>
            <w:r>
              <w:rPr>
                <w:rFonts w:hint="eastAsia" w:ascii="仿宋_GB2312" w:eastAsia="仿宋_GB2312"/>
                <w:color w:val="000000"/>
                <w:sz w:val="22"/>
              </w:rPr>
              <w:t>通过多角度全方位的警示教育，进一步督促全市党员干部时刻绷紧“廉政弦”，筑牢拒腐防变的思想道德防线。广泛发动纪检监察干部自发撰写一批优秀稿件，把杂志打造成全市纪检监察干部学习交流和展示工作经验的平台，不断扩大杂志影响力和知名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产出指标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数量指标</w:t>
            </w:r>
          </w:p>
        </w:tc>
        <w:tc>
          <w:tcPr>
            <w:tcW w:w="198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杂志发放次数</w:t>
            </w:r>
          </w:p>
        </w:tc>
        <w:tc>
          <w:tcPr>
            <w:tcW w:w="3402"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杂志发放次数</w:t>
            </w:r>
          </w:p>
        </w:tc>
        <w:tc>
          <w:tcPr>
            <w:tcW w:w="1843"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=6次</w:t>
            </w:r>
          </w:p>
        </w:tc>
        <w:tc>
          <w:tcPr>
            <w:tcW w:w="215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质量指标</w:t>
            </w:r>
          </w:p>
        </w:tc>
        <w:tc>
          <w:tcPr>
            <w:tcW w:w="198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合格率</w:t>
            </w:r>
          </w:p>
        </w:tc>
        <w:tc>
          <w:tcPr>
            <w:tcW w:w="3402"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杂志印刷质量</w:t>
            </w:r>
          </w:p>
        </w:tc>
        <w:tc>
          <w:tcPr>
            <w:tcW w:w="1843"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=100%</w:t>
            </w:r>
          </w:p>
        </w:tc>
        <w:tc>
          <w:tcPr>
            <w:tcW w:w="215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验收成果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时效指标</w:t>
            </w:r>
          </w:p>
        </w:tc>
        <w:tc>
          <w:tcPr>
            <w:tcW w:w="198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及时率</w:t>
            </w:r>
          </w:p>
        </w:tc>
        <w:tc>
          <w:tcPr>
            <w:tcW w:w="3402"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杂志发放及时性</w:t>
            </w:r>
          </w:p>
        </w:tc>
        <w:tc>
          <w:tcPr>
            <w:tcW w:w="1843"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=100%</w:t>
            </w:r>
          </w:p>
        </w:tc>
        <w:tc>
          <w:tcPr>
            <w:tcW w:w="215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成本指标</w:t>
            </w:r>
          </w:p>
        </w:tc>
        <w:tc>
          <w:tcPr>
            <w:tcW w:w="198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资金成本</w:t>
            </w:r>
          </w:p>
        </w:tc>
        <w:tc>
          <w:tcPr>
            <w:tcW w:w="3402"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杂志每期成本</w:t>
            </w:r>
          </w:p>
        </w:tc>
        <w:tc>
          <w:tcPr>
            <w:tcW w:w="1843"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≤3万元</w:t>
            </w:r>
          </w:p>
        </w:tc>
        <w:tc>
          <w:tcPr>
            <w:tcW w:w="215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效果指标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社会效益指标</w:t>
            </w:r>
          </w:p>
        </w:tc>
        <w:tc>
          <w:tcPr>
            <w:tcW w:w="198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进一步督促全市党员干部时刻绷紧“廉政弦”，筑牢拒腐防变的思想道德防线。</w:t>
            </w:r>
          </w:p>
        </w:tc>
        <w:tc>
          <w:tcPr>
            <w:tcW w:w="3402"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进一步督促全市党员干部时刻绷紧“廉政弦”，筑牢拒腐防变的思想道德防线。</w:t>
            </w:r>
          </w:p>
        </w:tc>
        <w:tc>
          <w:tcPr>
            <w:tcW w:w="1843" w:type="dxa"/>
            <w:shd w:val="clear" w:color="auto" w:fill="auto"/>
            <w:vAlign w:val="center"/>
          </w:tcPr>
          <w:p>
            <w:pPr>
              <w:jc w:val="center"/>
              <w:rPr>
                <w:rFonts w:ascii="仿宋_GB2312" w:hAnsi="Times New Roman" w:eastAsia="仿宋_GB2312" w:cs="Times New Roman"/>
                <w:szCs w:val="21"/>
              </w:rPr>
            </w:pPr>
            <w:r>
              <w:rPr>
                <w:rFonts w:hint="eastAsia" w:ascii="仿宋_GB2312" w:eastAsia="仿宋_GB2312"/>
                <w:color w:val="000000"/>
                <w:sz w:val="22"/>
              </w:rPr>
              <w:t>进一步督促全市党员干部时刻绷紧“廉政弦”，筑牢拒腐防变的思想道德防线。</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满意度指标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服务对象满意度指标</w:t>
            </w:r>
          </w:p>
        </w:tc>
        <w:tc>
          <w:tcPr>
            <w:tcW w:w="1985" w:type="dxa"/>
            <w:shd w:val="clear" w:color="auto" w:fill="auto"/>
            <w:vAlign w:val="center"/>
          </w:tcPr>
          <w:p>
            <w:pPr>
              <w:jc w:val="center"/>
              <w:rPr>
                <w:rFonts w:ascii="仿宋_GB2312" w:eastAsia="仿宋_GB2312" w:cs="宋体"/>
                <w:color w:val="000000"/>
                <w:sz w:val="22"/>
              </w:rPr>
            </w:pPr>
            <w:r>
              <w:rPr>
                <w:rFonts w:hint="eastAsia" w:ascii="仿宋_GB2312" w:eastAsia="仿宋_GB2312"/>
                <w:color w:val="000000"/>
                <w:sz w:val="22"/>
              </w:rPr>
              <w:t>服务对象满意度</w:t>
            </w:r>
          </w:p>
        </w:tc>
        <w:tc>
          <w:tcPr>
            <w:tcW w:w="3402" w:type="dxa"/>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社会群众对纪检监察工作的</w:t>
            </w:r>
          </w:p>
          <w:p>
            <w:pPr>
              <w:jc w:val="center"/>
              <w:rPr>
                <w:rFonts w:ascii="仿宋_GB2312" w:eastAsia="仿宋_GB2312" w:cs="宋体"/>
                <w:color w:val="000000"/>
                <w:sz w:val="22"/>
              </w:rPr>
            </w:pPr>
            <w:r>
              <w:rPr>
                <w:rFonts w:hint="eastAsia" w:ascii="仿宋_GB2312" w:eastAsia="仿宋_GB2312"/>
                <w:color w:val="000000"/>
                <w:sz w:val="22"/>
              </w:rPr>
              <w:t>满意度</w:t>
            </w:r>
          </w:p>
        </w:tc>
        <w:tc>
          <w:tcPr>
            <w:tcW w:w="1843"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≥90%</w:t>
            </w:r>
          </w:p>
        </w:tc>
        <w:tc>
          <w:tcPr>
            <w:tcW w:w="215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 巡视巡察工作专项经费</w:t>
      </w:r>
    </w:p>
    <w:p>
      <w:pPr>
        <w:spacing w:line="584" w:lineRule="exact"/>
        <w:ind w:firstLine="560" w:firstLineChars="200"/>
        <w:jc w:val="left"/>
        <w:outlineLvl w:val="1"/>
        <w:rPr>
          <w:rFonts w:ascii="Times New Roman" w:hAnsi="Times New Roman" w:eastAsia="仿宋_GB2312" w:cs="Times New Roman"/>
          <w:sz w:val="28"/>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jc w:val="left"/>
              <w:rPr>
                <w:rFonts w:ascii="Times New Roman" w:hAnsi="Times New Roman" w:eastAsia="仿宋_GB2312" w:cs="Times New Roman"/>
              </w:rPr>
            </w:pPr>
            <w:r>
              <w:rPr>
                <w:rFonts w:hint="eastAsia" w:ascii="仿宋_GB2312" w:eastAsia="仿宋_GB2312"/>
                <w:color w:val="000000"/>
                <w:sz w:val="22"/>
              </w:rPr>
              <w:t>坚决落实巡察要求，提升全覆盖质量；对群众反映强烈、问题突出的某一领域，联动开展专项巡察；逐级压实整改责任，做实“后半篇文章”。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3" w:hRule="atLeast"/>
          <w:jc w:val="center"/>
        </w:trPr>
        <w:tc>
          <w:tcPr>
            <w:tcW w:w="2409" w:type="dxa"/>
            <w:vMerge w:val="restart"/>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产出指标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数量指标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巡察组数量</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每轮组建巡察组的数量</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=10组</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质量指标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巡察质量</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年初计划覆盖率</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=100%</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时效指标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巡察时间</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考察每轮巡察时间长度</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≤2月</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仿宋_GB2312" w:eastAsia="仿宋_GB2312"/>
                <w:szCs w:val="21"/>
              </w:rPr>
            </w:pP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成本指标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资金成本</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每轮巡察工作所需经费</w:t>
            </w:r>
          </w:p>
        </w:tc>
        <w:tc>
          <w:tcPr>
            <w:tcW w:w="1843"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≤150万元</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效果指标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社会效益指标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完成巡察全覆盖，推进全面从严治党</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完成巡察全覆盖，推进全面从严治党</w:t>
            </w:r>
          </w:p>
        </w:tc>
        <w:tc>
          <w:tcPr>
            <w:tcW w:w="1843" w:type="dxa"/>
            <w:shd w:val="clear" w:color="auto" w:fill="auto"/>
            <w:vAlign w:val="center"/>
          </w:tcPr>
          <w:p>
            <w:pPr>
              <w:jc w:val="center"/>
              <w:rPr>
                <w:rFonts w:ascii="仿宋_GB2312" w:hAnsi="Times New Roman" w:eastAsia="仿宋_GB2312" w:cs="Times New Roman"/>
                <w:szCs w:val="21"/>
              </w:rPr>
            </w:pPr>
            <w:r>
              <w:rPr>
                <w:rFonts w:hint="eastAsia" w:ascii="仿宋_GB2312" w:eastAsia="仿宋_GB2312"/>
                <w:color w:val="000000"/>
                <w:szCs w:val="21"/>
              </w:rPr>
              <w:t>完成巡察全覆盖，推进全面从严治党</w:t>
            </w:r>
          </w:p>
        </w:tc>
        <w:tc>
          <w:tcPr>
            <w:tcW w:w="215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满意度指标</w:t>
            </w:r>
          </w:p>
        </w:tc>
        <w:tc>
          <w:tcPr>
            <w:tcW w:w="2268" w:type="dxa"/>
            <w:shd w:val="clear" w:color="auto" w:fill="auto"/>
            <w:vAlign w:val="center"/>
          </w:tcPr>
          <w:p>
            <w:pPr>
              <w:jc w:val="center"/>
              <w:rPr>
                <w:rFonts w:ascii="仿宋_GB2312" w:hAnsi="宋体" w:eastAsia="仿宋_GB2312" w:cs="宋体"/>
                <w:szCs w:val="21"/>
              </w:rPr>
            </w:pPr>
            <w:r>
              <w:rPr>
                <w:rFonts w:hint="eastAsia" w:ascii="仿宋_GB2312" w:eastAsia="仿宋_GB2312"/>
                <w:szCs w:val="21"/>
              </w:rPr>
              <w:t>服务对象满意度指标</w:t>
            </w:r>
          </w:p>
        </w:tc>
        <w:tc>
          <w:tcPr>
            <w:tcW w:w="1985"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服务对象满意度</w:t>
            </w:r>
          </w:p>
        </w:tc>
        <w:tc>
          <w:tcPr>
            <w:tcW w:w="3402" w:type="dxa"/>
            <w:shd w:val="clear" w:color="auto" w:fill="auto"/>
            <w:vAlign w:val="center"/>
          </w:tcPr>
          <w:p>
            <w:pPr>
              <w:jc w:val="center"/>
              <w:rPr>
                <w:rFonts w:ascii="仿宋_GB2312" w:eastAsia="仿宋_GB2312" w:cs="宋体"/>
                <w:color w:val="000000"/>
                <w:szCs w:val="21"/>
              </w:rPr>
            </w:pPr>
            <w:r>
              <w:rPr>
                <w:rFonts w:hint="eastAsia" w:ascii="仿宋_GB2312" w:eastAsia="仿宋_GB2312"/>
                <w:color w:val="000000"/>
                <w:szCs w:val="21"/>
              </w:rPr>
              <w:t>社会群众对巡察工作的满意度</w:t>
            </w:r>
          </w:p>
        </w:tc>
        <w:tc>
          <w:tcPr>
            <w:tcW w:w="1843"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≥90%</w:t>
            </w:r>
          </w:p>
        </w:tc>
        <w:tc>
          <w:tcPr>
            <w:tcW w:w="2155"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10.（中心工作经费）绩效目标表</w:t>
      </w:r>
    </w:p>
    <w:p>
      <w:pPr>
        <w:spacing w:line="584" w:lineRule="exact"/>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605"/>
        <w:gridCol w:w="278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widowControl/>
              <w:adjustRightInd w:val="0"/>
              <w:snapToGrid w:val="0"/>
              <w:jc w:val="center"/>
              <w:rPr>
                <w:rFonts w:ascii="方正书宋_GBK" w:eastAsia="方正书宋_GBK"/>
                <w:b/>
              </w:rPr>
            </w:pPr>
            <w:r>
              <w:rPr>
                <w:rFonts w:ascii="方正书宋_GBK" w:eastAsia="方正书宋_GBK"/>
                <w:b/>
              </w:rPr>
              <w:t>绩效目标</w:t>
            </w:r>
          </w:p>
        </w:tc>
        <w:tc>
          <w:tcPr>
            <w:tcW w:w="11653" w:type="dxa"/>
            <w:gridSpan w:val="5"/>
            <w:vAlign w:val="center"/>
          </w:tcPr>
          <w:p>
            <w:pPr>
              <w:widowControl/>
              <w:adjustRightInd w:val="0"/>
              <w:snapToGrid w:val="0"/>
              <w:jc w:val="left"/>
              <w:rPr>
                <w:rFonts w:ascii="Times New Roman" w:hAnsi="Times New Roman" w:eastAsia="仿宋_GB2312" w:cs="Times New Roman"/>
                <w:b/>
              </w:rPr>
            </w:pPr>
            <w:r>
              <w:rPr>
                <w:rFonts w:ascii="方正书宋_GBK" w:eastAsia="方正书宋_GBK"/>
              </w:rPr>
              <w:t>通过项目的开展保障中心业务工作正常运转。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2268" w:type="dxa"/>
            <w:vAlign w:val="center"/>
          </w:tcPr>
          <w:p>
            <w:pPr>
              <w:widowControl/>
              <w:adjustRightInd w:val="0"/>
              <w:snapToGrid w:val="0"/>
              <w:jc w:val="center"/>
              <w:rPr>
                <w:rFonts w:ascii="方正书宋_GBK" w:eastAsia="方正书宋_GBK"/>
                <w:b/>
              </w:rPr>
            </w:pPr>
            <w:r>
              <w:rPr>
                <w:rFonts w:ascii="方正书宋_GBK" w:eastAsia="方正书宋_GBK"/>
                <w:b/>
              </w:rPr>
              <w:t>二级指标</w:t>
            </w:r>
          </w:p>
        </w:tc>
        <w:tc>
          <w:tcPr>
            <w:tcW w:w="2605" w:type="dxa"/>
            <w:vAlign w:val="center"/>
          </w:tcPr>
          <w:p>
            <w:pPr>
              <w:widowControl/>
              <w:adjustRightInd w:val="0"/>
              <w:snapToGrid w:val="0"/>
              <w:jc w:val="center"/>
              <w:rPr>
                <w:rFonts w:ascii="方正书宋_GBK" w:eastAsia="方正书宋_GBK"/>
                <w:b/>
              </w:rPr>
            </w:pPr>
            <w:r>
              <w:rPr>
                <w:rFonts w:ascii="方正书宋_GBK" w:eastAsia="方正书宋_GBK"/>
                <w:b/>
              </w:rPr>
              <w:t>三级指标</w:t>
            </w:r>
          </w:p>
        </w:tc>
        <w:tc>
          <w:tcPr>
            <w:tcW w:w="2782" w:type="dxa"/>
            <w:vAlign w:val="center"/>
          </w:tcPr>
          <w:p>
            <w:pPr>
              <w:widowControl/>
              <w:adjustRightInd w:val="0"/>
              <w:snapToGrid w:val="0"/>
              <w:jc w:val="center"/>
              <w:rPr>
                <w:rFonts w:ascii="方正书宋_GBK" w:eastAsia="方正书宋_GBK"/>
                <w:b/>
              </w:rPr>
            </w:pPr>
            <w:r>
              <w:rPr>
                <w:rFonts w:ascii="方正书宋_GBK" w:eastAsia="方正书宋_GBK"/>
                <w:b/>
              </w:rPr>
              <w:t>绩效指标描述</w:t>
            </w:r>
          </w:p>
        </w:tc>
        <w:tc>
          <w:tcPr>
            <w:tcW w:w="1843" w:type="dxa"/>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155" w:type="dxa"/>
            <w:vAlign w:val="center"/>
          </w:tcPr>
          <w:p>
            <w:pPr>
              <w:widowControl/>
              <w:adjustRightInd w:val="0"/>
              <w:snapToGrid w:val="0"/>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widowControl/>
              <w:adjustRightInd w:val="0"/>
              <w:snapToGrid w:val="0"/>
              <w:jc w:val="center"/>
              <w:rPr>
                <w:rFonts w:ascii="方正书宋_GBK" w:eastAsia="方正书宋_GBK"/>
                <w:b/>
              </w:rPr>
            </w:pPr>
            <w:r>
              <w:rPr>
                <w:rFonts w:ascii="方正书宋_GBK" w:eastAsia="方正书宋_GBK"/>
                <w:b/>
              </w:rPr>
              <w:t>产出指标</w:t>
            </w:r>
          </w:p>
        </w:tc>
        <w:tc>
          <w:tcPr>
            <w:tcW w:w="2268" w:type="dxa"/>
            <w:vAlign w:val="center"/>
          </w:tcPr>
          <w:p>
            <w:pPr>
              <w:pStyle w:val="14"/>
              <w:rPr>
                <w:rFonts w:hAnsi="Calibri" w:cs="Arial"/>
                <w:kern w:val="2"/>
                <w:szCs w:val="22"/>
              </w:rPr>
            </w:pPr>
            <w:r>
              <w:rPr>
                <w:rFonts w:hAnsi="Calibri" w:cs="Arial"/>
                <w:kern w:val="2"/>
                <w:szCs w:val="22"/>
              </w:rPr>
              <w:t>数量指标</w:t>
            </w:r>
          </w:p>
        </w:tc>
        <w:tc>
          <w:tcPr>
            <w:tcW w:w="2605" w:type="dxa"/>
            <w:vAlign w:val="center"/>
          </w:tcPr>
          <w:p>
            <w:pPr>
              <w:pStyle w:val="14"/>
              <w:rPr>
                <w:rFonts w:hAnsi="Calibri" w:cs="Arial"/>
                <w:kern w:val="2"/>
                <w:szCs w:val="22"/>
              </w:rPr>
            </w:pPr>
            <w:r>
              <w:rPr>
                <w:rFonts w:hAnsi="Calibri" w:cs="Arial"/>
                <w:kern w:val="2"/>
                <w:szCs w:val="22"/>
              </w:rPr>
              <w:t>保障面积数</w:t>
            </w:r>
          </w:p>
        </w:tc>
        <w:tc>
          <w:tcPr>
            <w:tcW w:w="2782" w:type="dxa"/>
            <w:vAlign w:val="center"/>
          </w:tcPr>
          <w:p>
            <w:pPr>
              <w:pStyle w:val="14"/>
              <w:rPr>
                <w:rFonts w:hAnsi="Calibri" w:cs="Arial"/>
                <w:kern w:val="2"/>
                <w:szCs w:val="22"/>
              </w:rPr>
            </w:pPr>
            <w:r>
              <w:rPr>
                <w:rFonts w:hAnsi="Calibri" w:cs="Arial"/>
                <w:kern w:val="2"/>
                <w:szCs w:val="22"/>
              </w:rPr>
              <w:t>保障面积数</w:t>
            </w:r>
          </w:p>
        </w:tc>
        <w:tc>
          <w:tcPr>
            <w:tcW w:w="1843" w:type="dxa"/>
            <w:vAlign w:val="center"/>
          </w:tcPr>
          <w:p>
            <w:pPr>
              <w:pStyle w:val="14"/>
              <w:rPr>
                <w:rFonts w:hAnsi="Calibri" w:cs="Arial"/>
                <w:kern w:val="2"/>
                <w:szCs w:val="22"/>
              </w:rPr>
            </w:pPr>
            <w:r>
              <w:rPr>
                <w:rFonts w:hint="eastAsia" w:hAnsi="Calibri" w:cs="Arial"/>
                <w:kern w:val="2"/>
                <w:szCs w:val="22"/>
                <w:lang w:eastAsia="zh-CN"/>
              </w:rPr>
              <w:t>1.9万</w:t>
            </w:r>
            <w:r>
              <w:rPr>
                <w:rFonts w:hAnsi="Calibri" w:cs="Arial"/>
                <w:kern w:val="2"/>
                <w:szCs w:val="22"/>
              </w:rPr>
              <w:t>平米</w:t>
            </w:r>
          </w:p>
        </w:tc>
        <w:tc>
          <w:tcPr>
            <w:tcW w:w="2155" w:type="dxa"/>
            <w:vAlign w:val="center"/>
          </w:tcPr>
          <w:p>
            <w:pPr>
              <w:pStyle w:val="14"/>
              <w:rPr>
                <w:rFonts w:hAnsi="Calibri" w:cs="Arial"/>
                <w:kern w:val="2"/>
                <w:szCs w:val="22"/>
              </w:rPr>
            </w:pPr>
            <w:r>
              <w:rPr>
                <w:rFonts w:hAnsi="Calibri" w:cs="Arial"/>
                <w:kern w:val="2"/>
                <w:szCs w:val="22"/>
              </w:rPr>
              <w:t>房本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widowControl/>
              <w:adjustRightInd w:val="0"/>
              <w:snapToGrid w:val="0"/>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质量指标</w:t>
            </w:r>
          </w:p>
        </w:tc>
        <w:tc>
          <w:tcPr>
            <w:tcW w:w="2605" w:type="dxa"/>
            <w:vAlign w:val="center"/>
          </w:tcPr>
          <w:p>
            <w:pPr>
              <w:pStyle w:val="14"/>
              <w:rPr>
                <w:rFonts w:hAnsi="Calibri" w:cs="Arial"/>
                <w:kern w:val="2"/>
                <w:szCs w:val="22"/>
              </w:rPr>
            </w:pPr>
            <w:r>
              <w:rPr>
                <w:rFonts w:hAnsi="Calibri" w:cs="Arial"/>
                <w:kern w:val="2"/>
                <w:szCs w:val="22"/>
              </w:rPr>
              <w:t>车辆及日常运转保障率</w:t>
            </w:r>
          </w:p>
        </w:tc>
        <w:tc>
          <w:tcPr>
            <w:tcW w:w="2782" w:type="dxa"/>
            <w:vAlign w:val="center"/>
          </w:tcPr>
          <w:p>
            <w:pPr>
              <w:pStyle w:val="14"/>
              <w:rPr>
                <w:rFonts w:hAnsi="Calibri" w:cs="Arial"/>
                <w:kern w:val="2"/>
                <w:szCs w:val="22"/>
              </w:rPr>
            </w:pPr>
            <w:r>
              <w:rPr>
                <w:rFonts w:hAnsi="Calibri" w:cs="Arial"/>
                <w:kern w:val="2"/>
                <w:szCs w:val="22"/>
              </w:rPr>
              <w:t>专案保障能力</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widowControl/>
              <w:adjustRightInd w:val="0"/>
              <w:snapToGrid w:val="0"/>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时效指标</w:t>
            </w:r>
          </w:p>
        </w:tc>
        <w:tc>
          <w:tcPr>
            <w:tcW w:w="2605" w:type="dxa"/>
            <w:vAlign w:val="center"/>
          </w:tcPr>
          <w:p>
            <w:pPr>
              <w:pStyle w:val="14"/>
              <w:rPr>
                <w:rFonts w:hAnsi="Calibri" w:cs="Arial"/>
                <w:kern w:val="2"/>
                <w:szCs w:val="22"/>
              </w:rPr>
            </w:pPr>
            <w:r>
              <w:rPr>
                <w:rFonts w:hAnsi="Calibri" w:cs="Arial"/>
                <w:kern w:val="2"/>
                <w:szCs w:val="22"/>
              </w:rPr>
              <w:t>保障及时性</w:t>
            </w:r>
          </w:p>
        </w:tc>
        <w:tc>
          <w:tcPr>
            <w:tcW w:w="2782" w:type="dxa"/>
            <w:vAlign w:val="center"/>
          </w:tcPr>
          <w:p>
            <w:pPr>
              <w:pStyle w:val="14"/>
              <w:rPr>
                <w:rFonts w:hAnsi="Calibri" w:cs="Arial"/>
                <w:kern w:val="2"/>
                <w:szCs w:val="22"/>
              </w:rPr>
            </w:pPr>
            <w:r>
              <w:rPr>
                <w:rFonts w:hAnsi="Calibri" w:cs="Arial"/>
                <w:kern w:val="2"/>
                <w:szCs w:val="22"/>
              </w:rPr>
              <w:t>保障及时性</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widowControl/>
              <w:adjustRightInd w:val="0"/>
              <w:snapToGrid w:val="0"/>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成本指标</w:t>
            </w:r>
          </w:p>
        </w:tc>
        <w:tc>
          <w:tcPr>
            <w:tcW w:w="2605" w:type="dxa"/>
            <w:vAlign w:val="center"/>
          </w:tcPr>
          <w:p>
            <w:pPr>
              <w:pStyle w:val="14"/>
              <w:rPr>
                <w:rFonts w:hAnsi="Calibri" w:cs="Arial"/>
                <w:kern w:val="2"/>
                <w:szCs w:val="22"/>
              </w:rPr>
            </w:pPr>
            <w:r>
              <w:rPr>
                <w:rFonts w:hAnsi="Calibri" w:cs="Arial"/>
                <w:kern w:val="2"/>
                <w:szCs w:val="22"/>
              </w:rPr>
              <w:t>总体成本控制</w:t>
            </w:r>
          </w:p>
        </w:tc>
        <w:tc>
          <w:tcPr>
            <w:tcW w:w="2782" w:type="dxa"/>
            <w:vAlign w:val="center"/>
          </w:tcPr>
          <w:p>
            <w:pPr>
              <w:pStyle w:val="14"/>
              <w:rPr>
                <w:rFonts w:hAnsi="Calibri" w:cs="Arial"/>
                <w:kern w:val="2"/>
                <w:szCs w:val="22"/>
              </w:rPr>
            </w:pPr>
            <w:r>
              <w:rPr>
                <w:rFonts w:hAnsi="Calibri" w:cs="Arial"/>
                <w:kern w:val="2"/>
                <w:szCs w:val="22"/>
              </w:rPr>
              <w:t>控制总成本</w:t>
            </w:r>
          </w:p>
        </w:tc>
        <w:tc>
          <w:tcPr>
            <w:tcW w:w="1843" w:type="dxa"/>
            <w:vAlign w:val="center"/>
          </w:tcPr>
          <w:p>
            <w:pPr>
              <w:pStyle w:val="14"/>
              <w:rPr>
                <w:rFonts w:hAnsi="Calibri" w:cs="Arial"/>
                <w:kern w:val="2"/>
                <w:szCs w:val="22"/>
              </w:rPr>
            </w:pPr>
            <w:r>
              <w:rPr>
                <w:rFonts w:hAnsi="Calibri" w:cs="Arial"/>
                <w:kern w:val="2"/>
                <w:szCs w:val="22"/>
              </w:rPr>
              <w:t>≤683.55万元</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widowControl/>
              <w:adjustRightInd w:val="0"/>
              <w:snapToGrid w:val="0"/>
              <w:jc w:val="center"/>
              <w:rPr>
                <w:rFonts w:ascii="方正书宋_GBK" w:eastAsia="方正书宋_GBK"/>
                <w:b/>
              </w:rPr>
            </w:pPr>
            <w:r>
              <w:rPr>
                <w:rFonts w:ascii="方正书宋_GBK" w:eastAsia="方正书宋_GBK"/>
                <w:b/>
              </w:rPr>
              <w:t>效果指标</w:t>
            </w:r>
          </w:p>
        </w:tc>
        <w:tc>
          <w:tcPr>
            <w:tcW w:w="2268" w:type="dxa"/>
            <w:vAlign w:val="center"/>
          </w:tcPr>
          <w:p>
            <w:pPr>
              <w:pStyle w:val="14"/>
              <w:rPr>
                <w:rFonts w:hAnsi="Calibri" w:cs="Arial"/>
                <w:kern w:val="2"/>
                <w:szCs w:val="22"/>
              </w:rPr>
            </w:pPr>
            <w:r>
              <w:rPr>
                <w:rFonts w:hAnsi="Calibri" w:cs="Arial"/>
                <w:kern w:val="2"/>
                <w:szCs w:val="22"/>
              </w:rPr>
              <w:t>社会效益指标</w:t>
            </w:r>
          </w:p>
        </w:tc>
        <w:tc>
          <w:tcPr>
            <w:tcW w:w="2605" w:type="dxa"/>
            <w:vAlign w:val="center"/>
          </w:tcPr>
          <w:p>
            <w:pPr>
              <w:pStyle w:val="14"/>
              <w:rPr>
                <w:rFonts w:hAnsi="Calibri" w:cs="Arial"/>
                <w:kern w:val="2"/>
                <w:szCs w:val="22"/>
              </w:rPr>
            </w:pPr>
            <w:r>
              <w:rPr>
                <w:rFonts w:hAnsi="Calibri" w:cs="Arial"/>
                <w:kern w:val="2"/>
                <w:szCs w:val="22"/>
              </w:rPr>
              <w:t>保障办公正常运转率</w:t>
            </w:r>
          </w:p>
        </w:tc>
        <w:tc>
          <w:tcPr>
            <w:tcW w:w="2782" w:type="dxa"/>
            <w:vAlign w:val="center"/>
          </w:tcPr>
          <w:p>
            <w:pPr>
              <w:pStyle w:val="14"/>
              <w:rPr>
                <w:rFonts w:hAnsi="Calibri" w:cs="Arial"/>
                <w:kern w:val="2"/>
                <w:szCs w:val="22"/>
              </w:rPr>
            </w:pPr>
            <w:r>
              <w:rPr>
                <w:rFonts w:hAnsi="Calibri" w:cs="Arial"/>
                <w:kern w:val="2"/>
                <w:szCs w:val="22"/>
              </w:rPr>
              <w:t>保障办公正常运转率</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widowControl/>
              <w:adjustRightInd w:val="0"/>
              <w:snapToGrid w:val="0"/>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可持续影响指标</w:t>
            </w:r>
          </w:p>
        </w:tc>
        <w:tc>
          <w:tcPr>
            <w:tcW w:w="2605" w:type="dxa"/>
            <w:vAlign w:val="center"/>
          </w:tcPr>
          <w:p>
            <w:pPr>
              <w:pStyle w:val="14"/>
              <w:rPr>
                <w:rFonts w:hAnsi="Calibri" w:cs="Arial"/>
                <w:kern w:val="2"/>
                <w:szCs w:val="22"/>
              </w:rPr>
            </w:pPr>
            <w:r>
              <w:rPr>
                <w:rFonts w:hAnsi="Calibri" w:cs="Arial"/>
                <w:kern w:val="2"/>
                <w:szCs w:val="22"/>
              </w:rPr>
              <w:t>项目可持续期</w:t>
            </w:r>
          </w:p>
        </w:tc>
        <w:tc>
          <w:tcPr>
            <w:tcW w:w="2782" w:type="dxa"/>
            <w:vAlign w:val="center"/>
          </w:tcPr>
          <w:p>
            <w:pPr>
              <w:pStyle w:val="14"/>
              <w:rPr>
                <w:rFonts w:hAnsi="Calibri" w:cs="Arial"/>
                <w:kern w:val="2"/>
                <w:szCs w:val="22"/>
              </w:rPr>
            </w:pPr>
            <w:r>
              <w:rPr>
                <w:rFonts w:hAnsi="Calibri" w:cs="Arial"/>
                <w:kern w:val="2"/>
                <w:szCs w:val="22"/>
              </w:rPr>
              <w:t>本项目持续年限</w:t>
            </w:r>
          </w:p>
        </w:tc>
        <w:tc>
          <w:tcPr>
            <w:tcW w:w="1843" w:type="dxa"/>
            <w:vAlign w:val="center"/>
          </w:tcPr>
          <w:p>
            <w:pPr>
              <w:pStyle w:val="14"/>
              <w:rPr>
                <w:rFonts w:hAnsi="Calibri" w:cs="Arial"/>
                <w:kern w:val="2"/>
                <w:szCs w:val="22"/>
              </w:rPr>
            </w:pPr>
            <w:r>
              <w:rPr>
                <w:rFonts w:hAnsi="Calibri" w:cs="Arial"/>
                <w:kern w:val="2"/>
                <w:szCs w:val="22"/>
              </w:rPr>
              <w:t>1年</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widowControl/>
              <w:adjustRightInd w:val="0"/>
              <w:snapToGrid w:val="0"/>
              <w:jc w:val="center"/>
              <w:rPr>
                <w:rFonts w:ascii="方正书宋_GBK" w:eastAsia="方正书宋_GBK"/>
                <w:b/>
              </w:rPr>
            </w:pPr>
            <w:r>
              <w:rPr>
                <w:rFonts w:ascii="方正书宋_GBK" w:eastAsia="方正书宋_GBK"/>
                <w:b/>
              </w:rPr>
              <w:t>满意度指标</w:t>
            </w:r>
          </w:p>
        </w:tc>
        <w:tc>
          <w:tcPr>
            <w:tcW w:w="2268" w:type="dxa"/>
            <w:vAlign w:val="center"/>
          </w:tcPr>
          <w:p>
            <w:pPr>
              <w:pStyle w:val="14"/>
              <w:rPr>
                <w:rFonts w:hAnsi="Calibri" w:cs="Arial"/>
                <w:kern w:val="2"/>
                <w:szCs w:val="22"/>
              </w:rPr>
            </w:pPr>
            <w:r>
              <w:rPr>
                <w:rFonts w:hAnsi="Calibri" w:cs="Arial"/>
                <w:kern w:val="2"/>
                <w:szCs w:val="22"/>
              </w:rPr>
              <w:t>服务对象满意度指标</w:t>
            </w:r>
          </w:p>
        </w:tc>
        <w:tc>
          <w:tcPr>
            <w:tcW w:w="2605" w:type="dxa"/>
            <w:vAlign w:val="center"/>
          </w:tcPr>
          <w:p>
            <w:pPr>
              <w:pStyle w:val="14"/>
              <w:rPr>
                <w:rFonts w:hAnsi="Calibri" w:cs="Arial"/>
                <w:kern w:val="2"/>
                <w:szCs w:val="22"/>
              </w:rPr>
            </w:pPr>
            <w:r>
              <w:rPr>
                <w:rFonts w:hAnsi="Calibri" w:cs="Arial"/>
                <w:kern w:val="2"/>
                <w:szCs w:val="22"/>
              </w:rPr>
              <w:t>驻中心人员满意度</w:t>
            </w:r>
          </w:p>
        </w:tc>
        <w:tc>
          <w:tcPr>
            <w:tcW w:w="2782" w:type="dxa"/>
            <w:vAlign w:val="center"/>
          </w:tcPr>
          <w:p>
            <w:pPr>
              <w:pStyle w:val="14"/>
              <w:rPr>
                <w:rFonts w:hAnsi="Calibri" w:cs="Arial"/>
                <w:kern w:val="2"/>
                <w:szCs w:val="22"/>
              </w:rPr>
            </w:pPr>
            <w:r>
              <w:rPr>
                <w:rFonts w:hAnsi="Calibri" w:cs="Arial"/>
                <w:kern w:val="2"/>
                <w:szCs w:val="22"/>
              </w:rPr>
              <w:t>驻中心人员满意度</w:t>
            </w:r>
          </w:p>
        </w:tc>
        <w:tc>
          <w:tcPr>
            <w:tcW w:w="1843" w:type="dxa"/>
            <w:vAlign w:val="center"/>
          </w:tcPr>
          <w:p>
            <w:pPr>
              <w:pStyle w:val="14"/>
              <w:rPr>
                <w:rFonts w:hAnsi="Calibri" w:cs="Arial"/>
                <w:kern w:val="2"/>
                <w:szCs w:val="22"/>
              </w:rPr>
            </w:pPr>
            <w:r>
              <w:rPr>
                <w:rFonts w:hAnsi="Calibri" w:cs="Arial"/>
                <w:kern w:val="2"/>
                <w:szCs w:val="22"/>
              </w:rPr>
              <w:t>≥95百分比</w:t>
            </w:r>
          </w:p>
        </w:tc>
        <w:tc>
          <w:tcPr>
            <w:tcW w:w="2155" w:type="dxa"/>
            <w:vAlign w:val="center"/>
          </w:tcPr>
          <w:p>
            <w:pPr>
              <w:pStyle w:val="14"/>
              <w:rPr>
                <w:rFonts w:hAnsi="Calibri" w:cs="Arial"/>
                <w:kern w:val="2"/>
                <w:szCs w:val="22"/>
              </w:rPr>
            </w:pPr>
            <w:r>
              <w:rPr>
                <w:rFonts w:hAnsi="Calibri" w:cs="Arial"/>
                <w:kern w:val="2"/>
                <w:szCs w:val="22"/>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11</w:t>
      </w:r>
      <w:r>
        <w:rPr>
          <w:rFonts w:ascii="Times New Roman" w:hAnsi="Times New Roman" w:eastAsia="仿宋_GB2312" w:cs="Times New Roman"/>
          <w:sz w:val="28"/>
        </w:rPr>
        <w:t>.（</w:t>
      </w:r>
      <w:r>
        <w:rPr>
          <w:rFonts w:hint="eastAsia" w:ascii="Times New Roman" w:hAnsi="Times New Roman" w:eastAsia="仿宋_GB2312" w:cs="Times New Roman"/>
          <w:sz w:val="28"/>
        </w:rPr>
        <w:t>办案安全保障项目尾款</w:t>
      </w:r>
      <w:r>
        <w:rPr>
          <w:rFonts w:ascii="Times New Roman" w:hAnsi="Times New Roman" w:eastAsia="仿宋_GB2312" w:cs="Times New Roman"/>
          <w:sz w:val="28"/>
        </w:rPr>
        <w:t>）绩效目标表</w:t>
      </w:r>
    </w:p>
    <w:p>
      <w:pPr>
        <w:spacing w:line="584" w:lineRule="exact"/>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605"/>
        <w:gridCol w:w="278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widowControl/>
              <w:adjustRightInd w:val="0"/>
              <w:snapToGrid w:val="0"/>
              <w:jc w:val="center"/>
              <w:rPr>
                <w:rFonts w:ascii="方正书宋_GBK" w:eastAsia="方正书宋_GBK"/>
                <w:b/>
              </w:rPr>
            </w:pPr>
            <w:r>
              <w:rPr>
                <w:rFonts w:ascii="方正书宋_GBK" w:eastAsia="方正书宋_GBK"/>
                <w:b/>
              </w:rPr>
              <w:t>绩效目标</w:t>
            </w:r>
          </w:p>
        </w:tc>
        <w:tc>
          <w:tcPr>
            <w:tcW w:w="11653" w:type="dxa"/>
            <w:gridSpan w:val="5"/>
            <w:vAlign w:val="center"/>
          </w:tcPr>
          <w:p>
            <w:pPr>
              <w:pStyle w:val="14"/>
              <w:rPr>
                <w:rFonts w:ascii="Times New Roman" w:hAnsi="Times New Roman" w:eastAsia="仿宋_GB2312" w:cs="Times New Roman"/>
                <w:b/>
              </w:rPr>
            </w:pPr>
            <w:r>
              <w:rPr>
                <w:rFonts w:hAnsi="Calibri" w:cs="Arial"/>
                <w:kern w:val="2"/>
                <w:szCs w:val="22"/>
              </w:rPr>
              <w:t>通过本项目建设提升了办案安全、服务能力及效率，有效做好留置保障工作。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2268" w:type="dxa"/>
            <w:vAlign w:val="center"/>
          </w:tcPr>
          <w:p>
            <w:pPr>
              <w:widowControl/>
              <w:adjustRightInd w:val="0"/>
              <w:snapToGrid w:val="0"/>
              <w:jc w:val="center"/>
              <w:rPr>
                <w:rFonts w:ascii="方正书宋_GBK" w:eastAsia="方正书宋_GBK"/>
                <w:b/>
              </w:rPr>
            </w:pPr>
            <w:r>
              <w:rPr>
                <w:rFonts w:ascii="方正书宋_GBK" w:eastAsia="方正书宋_GBK"/>
                <w:b/>
              </w:rPr>
              <w:t>二级指标</w:t>
            </w:r>
          </w:p>
        </w:tc>
        <w:tc>
          <w:tcPr>
            <w:tcW w:w="2605" w:type="dxa"/>
            <w:vAlign w:val="center"/>
          </w:tcPr>
          <w:p>
            <w:pPr>
              <w:widowControl/>
              <w:adjustRightInd w:val="0"/>
              <w:snapToGrid w:val="0"/>
              <w:jc w:val="center"/>
              <w:rPr>
                <w:rFonts w:ascii="方正书宋_GBK" w:eastAsia="方正书宋_GBK"/>
                <w:b/>
              </w:rPr>
            </w:pPr>
            <w:r>
              <w:rPr>
                <w:rFonts w:ascii="方正书宋_GBK" w:eastAsia="方正书宋_GBK"/>
                <w:b/>
              </w:rPr>
              <w:t>三级指标</w:t>
            </w:r>
          </w:p>
        </w:tc>
        <w:tc>
          <w:tcPr>
            <w:tcW w:w="2782" w:type="dxa"/>
            <w:vAlign w:val="center"/>
          </w:tcPr>
          <w:p>
            <w:pPr>
              <w:widowControl/>
              <w:adjustRightInd w:val="0"/>
              <w:snapToGrid w:val="0"/>
              <w:jc w:val="center"/>
              <w:rPr>
                <w:rFonts w:ascii="方正书宋_GBK" w:eastAsia="方正书宋_GBK"/>
                <w:b/>
              </w:rPr>
            </w:pPr>
            <w:r>
              <w:rPr>
                <w:rFonts w:ascii="方正书宋_GBK" w:eastAsia="方正书宋_GBK"/>
                <w:b/>
              </w:rPr>
              <w:t>绩效指标描述</w:t>
            </w:r>
          </w:p>
        </w:tc>
        <w:tc>
          <w:tcPr>
            <w:tcW w:w="1843" w:type="dxa"/>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155" w:type="dxa"/>
            <w:vAlign w:val="center"/>
          </w:tcPr>
          <w:p>
            <w:pPr>
              <w:widowControl/>
              <w:adjustRightInd w:val="0"/>
              <w:snapToGrid w:val="0"/>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widowControl/>
              <w:adjustRightInd w:val="0"/>
              <w:snapToGrid w:val="0"/>
              <w:jc w:val="center"/>
              <w:rPr>
                <w:rFonts w:ascii="方正书宋_GBK" w:eastAsia="方正书宋_GBK"/>
                <w:b/>
              </w:rPr>
            </w:pPr>
            <w:r>
              <w:rPr>
                <w:rFonts w:ascii="方正书宋_GBK" w:eastAsia="方正书宋_GBK"/>
                <w:b/>
              </w:rPr>
              <w:t>产出指标</w:t>
            </w:r>
          </w:p>
        </w:tc>
        <w:tc>
          <w:tcPr>
            <w:tcW w:w="2268" w:type="dxa"/>
            <w:vAlign w:val="center"/>
          </w:tcPr>
          <w:p>
            <w:pPr>
              <w:pStyle w:val="14"/>
              <w:rPr>
                <w:rFonts w:hAnsi="Calibri" w:cs="Arial"/>
                <w:kern w:val="2"/>
                <w:szCs w:val="22"/>
              </w:rPr>
            </w:pPr>
            <w:r>
              <w:rPr>
                <w:rFonts w:hAnsi="Calibri" w:cs="Arial"/>
                <w:kern w:val="2"/>
                <w:szCs w:val="22"/>
              </w:rPr>
              <w:t>数量指标</w:t>
            </w:r>
          </w:p>
        </w:tc>
        <w:tc>
          <w:tcPr>
            <w:tcW w:w="2605" w:type="dxa"/>
            <w:vAlign w:val="center"/>
          </w:tcPr>
          <w:p>
            <w:pPr>
              <w:pStyle w:val="14"/>
              <w:rPr>
                <w:rFonts w:hAnsi="Calibri" w:cs="Arial"/>
                <w:kern w:val="2"/>
                <w:szCs w:val="22"/>
              </w:rPr>
            </w:pPr>
            <w:r>
              <w:rPr>
                <w:rFonts w:hAnsi="Calibri" w:cs="Arial"/>
                <w:kern w:val="2"/>
                <w:szCs w:val="22"/>
              </w:rPr>
              <w:t>保障建筑面积</w:t>
            </w:r>
          </w:p>
        </w:tc>
        <w:tc>
          <w:tcPr>
            <w:tcW w:w="2782" w:type="dxa"/>
            <w:vAlign w:val="center"/>
          </w:tcPr>
          <w:p>
            <w:pPr>
              <w:pStyle w:val="14"/>
              <w:rPr>
                <w:rFonts w:hAnsi="Calibri" w:cs="Arial"/>
                <w:kern w:val="2"/>
                <w:szCs w:val="22"/>
              </w:rPr>
            </w:pPr>
            <w:r>
              <w:rPr>
                <w:rFonts w:hAnsi="Calibri" w:cs="Arial"/>
                <w:kern w:val="2"/>
                <w:szCs w:val="22"/>
              </w:rPr>
              <w:t>项目涉及建筑面积</w:t>
            </w:r>
          </w:p>
        </w:tc>
        <w:tc>
          <w:tcPr>
            <w:tcW w:w="1843" w:type="dxa"/>
            <w:vAlign w:val="center"/>
          </w:tcPr>
          <w:p>
            <w:pPr>
              <w:pStyle w:val="14"/>
              <w:rPr>
                <w:rFonts w:hAnsi="Calibri" w:cs="Arial"/>
                <w:kern w:val="2"/>
                <w:szCs w:val="22"/>
              </w:rPr>
            </w:pPr>
            <w:r>
              <w:rPr>
                <w:rFonts w:hint="eastAsia" w:hAnsi="Calibri" w:cs="Arial"/>
                <w:kern w:val="2"/>
                <w:szCs w:val="22"/>
                <w:lang w:eastAsia="zh-CN"/>
              </w:rPr>
              <w:t>1.9万</w:t>
            </w:r>
            <w:r>
              <w:rPr>
                <w:rFonts w:hAnsi="Calibri" w:cs="Arial"/>
                <w:kern w:val="2"/>
                <w:szCs w:val="22"/>
              </w:rPr>
              <w:t>平米</w:t>
            </w:r>
          </w:p>
        </w:tc>
        <w:tc>
          <w:tcPr>
            <w:tcW w:w="2155" w:type="dxa"/>
            <w:vAlign w:val="center"/>
          </w:tcPr>
          <w:p>
            <w:pPr>
              <w:pStyle w:val="14"/>
              <w:rPr>
                <w:rFonts w:hAnsi="Calibri" w:cs="Arial"/>
                <w:kern w:val="2"/>
                <w:szCs w:val="22"/>
              </w:rPr>
            </w:pPr>
            <w:r>
              <w:rPr>
                <w:rFonts w:hAnsi="Calibri" w:cs="Arial"/>
                <w:kern w:val="2"/>
                <w:szCs w:val="22"/>
              </w:rPr>
              <w:t>房本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widowControl/>
              <w:adjustRightInd w:val="0"/>
              <w:snapToGrid w:val="0"/>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质量指标</w:t>
            </w:r>
          </w:p>
        </w:tc>
        <w:tc>
          <w:tcPr>
            <w:tcW w:w="2605" w:type="dxa"/>
            <w:vAlign w:val="center"/>
          </w:tcPr>
          <w:p>
            <w:pPr>
              <w:pStyle w:val="14"/>
              <w:rPr>
                <w:rFonts w:hAnsi="Calibri" w:cs="Arial"/>
                <w:kern w:val="2"/>
                <w:szCs w:val="22"/>
              </w:rPr>
            </w:pPr>
            <w:r>
              <w:rPr>
                <w:rFonts w:hAnsi="Calibri" w:cs="Arial"/>
                <w:kern w:val="2"/>
                <w:szCs w:val="22"/>
              </w:rPr>
              <w:t>工程质量合格率</w:t>
            </w:r>
          </w:p>
        </w:tc>
        <w:tc>
          <w:tcPr>
            <w:tcW w:w="2782" w:type="dxa"/>
            <w:vAlign w:val="center"/>
          </w:tcPr>
          <w:p>
            <w:pPr>
              <w:pStyle w:val="14"/>
              <w:rPr>
                <w:rFonts w:hAnsi="Calibri" w:cs="Arial"/>
                <w:kern w:val="2"/>
                <w:szCs w:val="22"/>
              </w:rPr>
            </w:pPr>
            <w:r>
              <w:rPr>
                <w:rFonts w:hAnsi="Calibri" w:cs="Arial"/>
                <w:kern w:val="2"/>
                <w:szCs w:val="22"/>
              </w:rPr>
              <w:t>一次性验收合格率</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widowControl/>
              <w:adjustRightInd w:val="0"/>
              <w:snapToGrid w:val="0"/>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时效指标</w:t>
            </w:r>
          </w:p>
        </w:tc>
        <w:tc>
          <w:tcPr>
            <w:tcW w:w="2605" w:type="dxa"/>
            <w:vAlign w:val="center"/>
          </w:tcPr>
          <w:p>
            <w:pPr>
              <w:pStyle w:val="14"/>
              <w:rPr>
                <w:rFonts w:hAnsi="Calibri" w:cs="Arial"/>
                <w:kern w:val="2"/>
                <w:szCs w:val="22"/>
              </w:rPr>
            </w:pPr>
            <w:r>
              <w:rPr>
                <w:rFonts w:hAnsi="Calibri" w:cs="Arial"/>
                <w:kern w:val="2"/>
                <w:szCs w:val="22"/>
              </w:rPr>
              <w:t>项目完成及时率</w:t>
            </w:r>
          </w:p>
        </w:tc>
        <w:tc>
          <w:tcPr>
            <w:tcW w:w="2782" w:type="dxa"/>
            <w:vAlign w:val="center"/>
          </w:tcPr>
          <w:p>
            <w:pPr>
              <w:pStyle w:val="14"/>
              <w:rPr>
                <w:rFonts w:hAnsi="Calibri" w:cs="Arial"/>
                <w:kern w:val="2"/>
                <w:szCs w:val="22"/>
              </w:rPr>
            </w:pPr>
            <w:r>
              <w:rPr>
                <w:rFonts w:hAnsi="Calibri" w:cs="Arial"/>
                <w:kern w:val="2"/>
                <w:szCs w:val="22"/>
              </w:rPr>
              <w:t>验收及时性，符合合同规定</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widowControl/>
              <w:adjustRightInd w:val="0"/>
              <w:snapToGrid w:val="0"/>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成本指标</w:t>
            </w:r>
          </w:p>
        </w:tc>
        <w:tc>
          <w:tcPr>
            <w:tcW w:w="2605" w:type="dxa"/>
            <w:vAlign w:val="center"/>
          </w:tcPr>
          <w:p>
            <w:pPr>
              <w:pStyle w:val="14"/>
              <w:rPr>
                <w:rFonts w:hAnsi="Calibri" w:cs="Arial"/>
                <w:kern w:val="2"/>
                <w:szCs w:val="22"/>
              </w:rPr>
            </w:pPr>
            <w:r>
              <w:rPr>
                <w:rFonts w:hAnsi="Calibri" w:cs="Arial"/>
                <w:kern w:val="2"/>
                <w:szCs w:val="22"/>
              </w:rPr>
              <w:t>总体成本控制</w:t>
            </w:r>
          </w:p>
        </w:tc>
        <w:tc>
          <w:tcPr>
            <w:tcW w:w="2782" w:type="dxa"/>
            <w:vAlign w:val="center"/>
          </w:tcPr>
          <w:p>
            <w:pPr>
              <w:pStyle w:val="14"/>
              <w:rPr>
                <w:rFonts w:hAnsi="Calibri" w:cs="Arial"/>
                <w:kern w:val="2"/>
                <w:szCs w:val="22"/>
              </w:rPr>
            </w:pPr>
            <w:r>
              <w:rPr>
                <w:rFonts w:hAnsi="Calibri" w:cs="Arial"/>
                <w:kern w:val="2"/>
                <w:szCs w:val="22"/>
              </w:rPr>
              <w:t>控制总成本</w:t>
            </w:r>
          </w:p>
        </w:tc>
        <w:tc>
          <w:tcPr>
            <w:tcW w:w="1843" w:type="dxa"/>
            <w:vAlign w:val="center"/>
          </w:tcPr>
          <w:p>
            <w:pPr>
              <w:pStyle w:val="14"/>
              <w:rPr>
                <w:rFonts w:hAnsi="Calibri" w:cs="Arial"/>
                <w:kern w:val="2"/>
                <w:szCs w:val="22"/>
              </w:rPr>
            </w:pPr>
            <w:r>
              <w:rPr>
                <w:rFonts w:hAnsi="Calibri" w:cs="Arial"/>
                <w:kern w:val="2"/>
                <w:szCs w:val="22"/>
              </w:rPr>
              <w:t>≤195万元</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widowControl/>
              <w:adjustRightInd w:val="0"/>
              <w:snapToGrid w:val="0"/>
              <w:jc w:val="center"/>
              <w:rPr>
                <w:rFonts w:ascii="方正书宋_GBK" w:eastAsia="方正书宋_GBK"/>
                <w:b/>
              </w:rPr>
            </w:pPr>
            <w:r>
              <w:rPr>
                <w:rFonts w:ascii="方正书宋_GBK" w:eastAsia="方正书宋_GBK"/>
                <w:b/>
              </w:rPr>
              <w:t>效果指标</w:t>
            </w:r>
          </w:p>
        </w:tc>
        <w:tc>
          <w:tcPr>
            <w:tcW w:w="2268" w:type="dxa"/>
            <w:vAlign w:val="center"/>
          </w:tcPr>
          <w:p>
            <w:pPr>
              <w:pStyle w:val="14"/>
              <w:rPr>
                <w:rFonts w:hAnsi="Calibri" w:cs="Arial"/>
                <w:kern w:val="2"/>
                <w:szCs w:val="22"/>
              </w:rPr>
            </w:pPr>
            <w:r>
              <w:rPr>
                <w:rFonts w:hAnsi="Calibri" w:cs="Arial"/>
                <w:kern w:val="2"/>
                <w:szCs w:val="22"/>
              </w:rPr>
              <w:t>社会效益指标</w:t>
            </w:r>
          </w:p>
        </w:tc>
        <w:tc>
          <w:tcPr>
            <w:tcW w:w="2605" w:type="dxa"/>
            <w:vAlign w:val="center"/>
          </w:tcPr>
          <w:p>
            <w:pPr>
              <w:pStyle w:val="14"/>
              <w:rPr>
                <w:rFonts w:hAnsi="Calibri" w:cs="Arial"/>
                <w:kern w:val="2"/>
                <w:szCs w:val="22"/>
              </w:rPr>
            </w:pPr>
            <w:r>
              <w:rPr>
                <w:rFonts w:hAnsi="Calibri" w:cs="Arial"/>
                <w:kern w:val="2"/>
                <w:szCs w:val="22"/>
              </w:rPr>
              <w:t>保障办案工作正常运转率</w:t>
            </w:r>
          </w:p>
        </w:tc>
        <w:tc>
          <w:tcPr>
            <w:tcW w:w="2782" w:type="dxa"/>
            <w:vAlign w:val="center"/>
          </w:tcPr>
          <w:p>
            <w:pPr>
              <w:pStyle w:val="14"/>
              <w:rPr>
                <w:rFonts w:hAnsi="Calibri" w:cs="Arial"/>
                <w:kern w:val="2"/>
                <w:szCs w:val="22"/>
              </w:rPr>
            </w:pPr>
            <w:r>
              <w:rPr>
                <w:rFonts w:hAnsi="Calibri" w:cs="Arial"/>
                <w:kern w:val="2"/>
                <w:szCs w:val="22"/>
              </w:rPr>
              <w:t>保障办案工作顺利开展</w:t>
            </w:r>
          </w:p>
        </w:tc>
        <w:tc>
          <w:tcPr>
            <w:tcW w:w="1843" w:type="dxa"/>
            <w:vAlign w:val="center"/>
          </w:tcPr>
          <w:p>
            <w:pPr>
              <w:pStyle w:val="14"/>
              <w:rPr>
                <w:rFonts w:hAnsi="Calibri" w:cs="Arial"/>
                <w:kern w:val="2"/>
                <w:szCs w:val="22"/>
              </w:rPr>
            </w:pPr>
            <w:r>
              <w:rPr>
                <w:rFonts w:hAnsi="Calibri" w:cs="Arial"/>
                <w:kern w:val="2"/>
                <w:szCs w:val="22"/>
              </w:rPr>
              <w:t>保障办案工作顺利开展</w:t>
            </w:r>
          </w:p>
        </w:tc>
        <w:tc>
          <w:tcPr>
            <w:tcW w:w="2155" w:type="dxa"/>
            <w:vAlign w:val="center"/>
          </w:tcPr>
          <w:p>
            <w:pPr>
              <w:pStyle w:val="14"/>
              <w:rPr>
                <w:rFonts w:hAnsi="Calibri" w:cs="Arial"/>
                <w:kern w:val="2"/>
                <w:szCs w:val="22"/>
              </w:rPr>
            </w:pPr>
            <w:r>
              <w:rPr>
                <w:rFonts w:hAnsi="Calibri" w:cs="Arial"/>
                <w:kern w:val="2"/>
                <w:szCs w:val="22"/>
              </w:rP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widowControl/>
              <w:adjustRightInd w:val="0"/>
              <w:snapToGrid w:val="0"/>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可持续影响指标</w:t>
            </w:r>
          </w:p>
        </w:tc>
        <w:tc>
          <w:tcPr>
            <w:tcW w:w="2605" w:type="dxa"/>
            <w:vAlign w:val="center"/>
          </w:tcPr>
          <w:p>
            <w:pPr>
              <w:pStyle w:val="14"/>
              <w:rPr>
                <w:rFonts w:hAnsi="Calibri" w:cs="Arial"/>
                <w:kern w:val="2"/>
                <w:szCs w:val="22"/>
              </w:rPr>
            </w:pPr>
            <w:r>
              <w:rPr>
                <w:rFonts w:hAnsi="Calibri" w:cs="Arial"/>
                <w:kern w:val="2"/>
                <w:szCs w:val="22"/>
              </w:rPr>
              <w:t>项目可持续期</w:t>
            </w:r>
          </w:p>
        </w:tc>
        <w:tc>
          <w:tcPr>
            <w:tcW w:w="2782" w:type="dxa"/>
            <w:vAlign w:val="center"/>
          </w:tcPr>
          <w:p>
            <w:pPr>
              <w:pStyle w:val="14"/>
              <w:rPr>
                <w:rFonts w:hAnsi="Calibri" w:cs="Arial"/>
                <w:kern w:val="2"/>
                <w:szCs w:val="22"/>
              </w:rPr>
            </w:pPr>
            <w:r>
              <w:rPr>
                <w:rFonts w:hAnsi="Calibri" w:cs="Arial"/>
                <w:kern w:val="2"/>
                <w:szCs w:val="22"/>
              </w:rPr>
              <w:t>本项目持续年限</w:t>
            </w:r>
          </w:p>
        </w:tc>
        <w:tc>
          <w:tcPr>
            <w:tcW w:w="1843" w:type="dxa"/>
            <w:vAlign w:val="center"/>
          </w:tcPr>
          <w:p>
            <w:pPr>
              <w:pStyle w:val="14"/>
              <w:rPr>
                <w:rFonts w:hAnsi="Calibri" w:cs="Arial"/>
                <w:kern w:val="2"/>
                <w:szCs w:val="22"/>
              </w:rPr>
            </w:pPr>
            <w:r>
              <w:rPr>
                <w:rFonts w:hAnsi="Calibri" w:cs="Arial"/>
                <w:kern w:val="2"/>
                <w:szCs w:val="22"/>
              </w:rPr>
              <w:t>长期</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widowControl/>
              <w:adjustRightInd w:val="0"/>
              <w:snapToGrid w:val="0"/>
              <w:jc w:val="center"/>
              <w:rPr>
                <w:rFonts w:ascii="方正书宋_GBK" w:eastAsia="方正书宋_GBK"/>
                <w:b/>
              </w:rPr>
            </w:pPr>
            <w:r>
              <w:rPr>
                <w:rFonts w:ascii="方正书宋_GBK" w:eastAsia="方正书宋_GBK"/>
                <w:b/>
              </w:rPr>
              <w:t>满意度指标</w:t>
            </w:r>
          </w:p>
        </w:tc>
        <w:tc>
          <w:tcPr>
            <w:tcW w:w="2268" w:type="dxa"/>
            <w:vAlign w:val="center"/>
          </w:tcPr>
          <w:p>
            <w:pPr>
              <w:pStyle w:val="14"/>
              <w:rPr>
                <w:rFonts w:hAnsi="Calibri" w:cs="Arial"/>
                <w:kern w:val="2"/>
                <w:szCs w:val="22"/>
              </w:rPr>
            </w:pPr>
            <w:r>
              <w:rPr>
                <w:rFonts w:hAnsi="Calibri" w:cs="Arial"/>
                <w:kern w:val="2"/>
                <w:szCs w:val="22"/>
              </w:rPr>
              <w:t>服务对象满意度指标</w:t>
            </w:r>
          </w:p>
        </w:tc>
        <w:tc>
          <w:tcPr>
            <w:tcW w:w="2605" w:type="dxa"/>
            <w:vAlign w:val="center"/>
          </w:tcPr>
          <w:p>
            <w:pPr>
              <w:pStyle w:val="14"/>
              <w:rPr>
                <w:rFonts w:hAnsi="Calibri" w:cs="Arial"/>
                <w:kern w:val="2"/>
                <w:szCs w:val="22"/>
              </w:rPr>
            </w:pPr>
            <w:r>
              <w:rPr>
                <w:rFonts w:hAnsi="Calibri" w:cs="Arial"/>
                <w:kern w:val="2"/>
                <w:szCs w:val="22"/>
              </w:rPr>
              <w:t>驻中心人员满意度</w:t>
            </w:r>
          </w:p>
        </w:tc>
        <w:tc>
          <w:tcPr>
            <w:tcW w:w="2782" w:type="dxa"/>
            <w:vAlign w:val="center"/>
          </w:tcPr>
          <w:p>
            <w:pPr>
              <w:pStyle w:val="14"/>
              <w:rPr>
                <w:rFonts w:hAnsi="Calibri" w:cs="Arial"/>
                <w:kern w:val="2"/>
                <w:szCs w:val="22"/>
              </w:rPr>
            </w:pPr>
            <w:r>
              <w:rPr>
                <w:rFonts w:hAnsi="Calibri" w:cs="Arial"/>
                <w:kern w:val="2"/>
                <w:szCs w:val="22"/>
              </w:rPr>
              <w:t>驻中心人员满意度</w:t>
            </w:r>
          </w:p>
        </w:tc>
        <w:tc>
          <w:tcPr>
            <w:tcW w:w="1843" w:type="dxa"/>
            <w:vAlign w:val="center"/>
          </w:tcPr>
          <w:p>
            <w:pPr>
              <w:pStyle w:val="14"/>
              <w:rPr>
                <w:rFonts w:hAnsi="Calibri" w:cs="Arial"/>
                <w:kern w:val="2"/>
                <w:szCs w:val="22"/>
              </w:rPr>
            </w:pPr>
            <w:r>
              <w:rPr>
                <w:rFonts w:hAnsi="Calibri" w:cs="Arial"/>
                <w:kern w:val="2"/>
                <w:szCs w:val="22"/>
              </w:rPr>
              <w:t>≥95百分比</w:t>
            </w:r>
          </w:p>
        </w:tc>
        <w:tc>
          <w:tcPr>
            <w:tcW w:w="2155" w:type="dxa"/>
            <w:vAlign w:val="center"/>
          </w:tcPr>
          <w:p>
            <w:pPr>
              <w:pStyle w:val="14"/>
              <w:rPr>
                <w:rFonts w:hAnsi="Calibri" w:cs="Arial"/>
                <w:kern w:val="2"/>
                <w:szCs w:val="22"/>
              </w:rPr>
            </w:pPr>
            <w:r>
              <w:rPr>
                <w:rFonts w:hAnsi="Calibri" w:cs="Arial"/>
                <w:kern w:val="2"/>
                <w:szCs w:val="22"/>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12</w:t>
      </w:r>
      <w:r>
        <w:rPr>
          <w:rFonts w:ascii="Times New Roman" w:hAnsi="Times New Roman" w:eastAsia="仿宋_GB2312" w:cs="Times New Roman"/>
          <w:sz w:val="28"/>
        </w:rPr>
        <w:t>.（</w:t>
      </w:r>
      <w:r>
        <w:rPr>
          <w:rFonts w:hint="eastAsia" w:ascii="Times New Roman" w:hAnsi="Times New Roman" w:eastAsia="仿宋_GB2312" w:cs="Times New Roman"/>
          <w:sz w:val="28"/>
        </w:rPr>
        <w:t>办案楼改造经费</w:t>
      </w:r>
      <w:r>
        <w:rPr>
          <w:rFonts w:ascii="Times New Roman" w:hAnsi="Times New Roman" w:eastAsia="仿宋_GB2312" w:cs="Times New Roman"/>
          <w:sz w:val="28"/>
        </w:rPr>
        <w:t>）绩效目标表</w:t>
      </w:r>
    </w:p>
    <w:p>
      <w:pPr>
        <w:spacing w:line="584" w:lineRule="exact"/>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605"/>
        <w:gridCol w:w="278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widowControl/>
              <w:adjustRightInd w:val="0"/>
              <w:snapToGrid w:val="0"/>
              <w:jc w:val="center"/>
              <w:rPr>
                <w:rFonts w:ascii="Times New Roman" w:hAnsi="Times New Roman" w:eastAsia="仿宋_GB2312" w:cs="Times New Roman"/>
                <w:b/>
              </w:rPr>
            </w:pPr>
            <w:r>
              <w:rPr>
                <w:rFonts w:ascii="方正书宋_GBK" w:eastAsia="方正书宋_GBK"/>
                <w:b/>
              </w:rPr>
              <w:t>绩效目标</w:t>
            </w:r>
          </w:p>
        </w:tc>
        <w:tc>
          <w:tcPr>
            <w:tcW w:w="11653" w:type="dxa"/>
            <w:gridSpan w:val="5"/>
            <w:vAlign w:val="center"/>
          </w:tcPr>
          <w:p>
            <w:pPr>
              <w:pStyle w:val="14"/>
              <w:rPr>
                <w:rFonts w:ascii="Times New Roman" w:hAnsi="Times New Roman" w:eastAsia="仿宋_GB2312" w:cs="Times New Roman"/>
                <w:b/>
              </w:rPr>
            </w:pPr>
            <w:r>
              <w:rPr>
                <w:rFonts w:hAnsi="Calibri" w:cs="Arial"/>
                <w:kern w:val="2"/>
                <w:szCs w:val="22"/>
              </w:rPr>
              <w:t>通过项目的开展保障中心办案区域设施设备安全</w:t>
            </w:r>
            <w:r>
              <w:rPr>
                <w:rFonts w:hint="eastAsia" w:hAnsi="Calibri" w:cs="Arial"/>
                <w:kern w:val="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2268" w:type="dxa"/>
            <w:vAlign w:val="center"/>
          </w:tcPr>
          <w:p>
            <w:pPr>
              <w:widowControl/>
              <w:adjustRightInd w:val="0"/>
              <w:snapToGrid w:val="0"/>
              <w:jc w:val="center"/>
              <w:rPr>
                <w:rFonts w:ascii="方正书宋_GBK" w:eastAsia="方正书宋_GBK"/>
                <w:b/>
              </w:rPr>
            </w:pPr>
            <w:r>
              <w:rPr>
                <w:rFonts w:ascii="方正书宋_GBK" w:eastAsia="方正书宋_GBK"/>
                <w:b/>
              </w:rPr>
              <w:t>二级指标</w:t>
            </w:r>
          </w:p>
        </w:tc>
        <w:tc>
          <w:tcPr>
            <w:tcW w:w="2605" w:type="dxa"/>
            <w:vAlign w:val="center"/>
          </w:tcPr>
          <w:p>
            <w:pPr>
              <w:widowControl/>
              <w:adjustRightInd w:val="0"/>
              <w:snapToGrid w:val="0"/>
              <w:jc w:val="center"/>
              <w:rPr>
                <w:rFonts w:ascii="方正书宋_GBK" w:eastAsia="方正书宋_GBK"/>
                <w:b/>
              </w:rPr>
            </w:pPr>
            <w:r>
              <w:rPr>
                <w:rFonts w:ascii="方正书宋_GBK" w:eastAsia="方正书宋_GBK"/>
                <w:b/>
              </w:rPr>
              <w:t>三级指标</w:t>
            </w:r>
          </w:p>
        </w:tc>
        <w:tc>
          <w:tcPr>
            <w:tcW w:w="2782" w:type="dxa"/>
            <w:vAlign w:val="center"/>
          </w:tcPr>
          <w:p>
            <w:pPr>
              <w:widowControl/>
              <w:adjustRightInd w:val="0"/>
              <w:snapToGrid w:val="0"/>
              <w:jc w:val="center"/>
              <w:rPr>
                <w:rFonts w:ascii="方正书宋_GBK" w:eastAsia="方正书宋_GBK"/>
                <w:b/>
              </w:rPr>
            </w:pPr>
            <w:r>
              <w:rPr>
                <w:rFonts w:ascii="方正书宋_GBK" w:eastAsia="方正书宋_GBK"/>
                <w:b/>
              </w:rPr>
              <w:t>绩效指标描述</w:t>
            </w:r>
          </w:p>
        </w:tc>
        <w:tc>
          <w:tcPr>
            <w:tcW w:w="1843" w:type="dxa"/>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155" w:type="dxa"/>
            <w:vAlign w:val="center"/>
          </w:tcPr>
          <w:p>
            <w:pPr>
              <w:widowControl/>
              <w:adjustRightInd w:val="0"/>
              <w:snapToGrid w:val="0"/>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方正书宋_GBK" w:eastAsia="方正书宋_GBK"/>
                <w:b/>
              </w:rPr>
            </w:pPr>
            <w:r>
              <w:rPr>
                <w:rFonts w:ascii="方正书宋_GBK" w:eastAsia="方正书宋_GBK"/>
                <w:b/>
              </w:rPr>
              <w:t>产出指标</w:t>
            </w:r>
          </w:p>
        </w:tc>
        <w:tc>
          <w:tcPr>
            <w:tcW w:w="2268" w:type="dxa"/>
            <w:vAlign w:val="center"/>
          </w:tcPr>
          <w:p>
            <w:pPr>
              <w:pStyle w:val="14"/>
              <w:rPr>
                <w:rFonts w:hAnsi="Calibri" w:cs="Arial"/>
                <w:kern w:val="2"/>
                <w:szCs w:val="22"/>
              </w:rPr>
            </w:pPr>
            <w:r>
              <w:rPr>
                <w:rFonts w:hAnsi="Calibri" w:cs="Arial"/>
                <w:kern w:val="2"/>
                <w:szCs w:val="22"/>
              </w:rPr>
              <w:t>数量指标</w:t>
            </w:r>
          </w:p>
        </w:tc>
        <w:tc>
          <w:tcPr>
            <w:tcW w:w="2605" w:type="dxa"/>
            <w:vAlign w:val="center"/>
          </w:tcPr>
          <w:p>
            <w:pPr>
              <w:pStyle w:val="14"/>
              <w:rPr>
                <w:rFonts w:hAnsi="Calibri" w:cs="Arial"/>
                <w:kern w:val="2"/>
                <w:szCs w:val="22"/>
              </w:rPr>
            </w:pPr>
            <w:r>
              <w:rPr>
                <w:rFonts w:hAnsi="Calibri" w:cs="Arial"/>
                <w:kern w:val="2"/>
                <w:szCs w:val="22"/>
              </w:rPr>
              <w:t>保障区域</w:t>
            </w:r>
          </w:p>
        </w:tc>
        <w:tc>
          <w:tcPr>
            <w:tcW w:w="2782" w:type="dxa"/>
            <w:vAlign w:val="center"/>
          </w:tcPr>
          <w:p>
            <w:pPr>
              <w:pStyle w:val="14"/>
              <w:rPr>
                <w:rFonts w:hAnsi="Calibri" w:cs="Arial"/>
                <w:kern w:val="2"/>
                <w:szCs w:val="22"/>
              </w:rPr>
            </w:pPr>
            <w:r>
              <w:rPr>
                <w:rFonts w:hAnsi="Calibri" w:cs="Arial"/>
                <w:kern w:val="2"/>
                <w:szCs w:val="22"/>
              </w:rPr>
              <w:t>保障建筑面积</w:t>
            </w:r>
          </w:p>
        </w:tc>
        <w:tc>
          <w:tcPr>
            <w:tcW w:w="1843" w:type="dxa"/>
            <w:vAlign w:val="center"/>
          </w:tcPr>
          <w:p>
            <w:pPr>
              <w:pStyle w:val="14"/>
              <w:rPr>
                <w:rFonts w:hAnsi="Calibri" w:cs="Arial"/>
                <w:kern w:val="2"/>
                <w:szCs w:val="22"/>
              </w:rPr>
            </w:pPr>
            <w:r>
              <w:rPr>
                <w:rFonts w:hAnsi="Calibri" w:cs="Arial"/>
                <w:kern w:val="2"/>
                <w:szCs w:val="22"/>
              </w:rPr>
              <w:t>6431平方米</w:t>
            </w:r>
          </w:p>
        </w:tc>
        <w:tc>
          <w:tcPr>
            <w:tcW w:w="2155" w:type="dxa"/>
            <w:vAlign w:val="center"/>
          </w:tcPr>
          <w:p>
            <w:pPr>
              <w:pStyle w:val="14"/>
              <w:rPr>
                <w:rFonts w:hAnsi="Calibri" w:cs="Arial"/>
                <w:kern w:val="2"/>
                <w:szCs w:val="22"/>
              </w:rPr>
            </w:pPr>
            <w:r>
              <w:rPr>
                <w:rFonts w:hAnsi="Calibri" w:cs="Arial"/>
                <w:kern w:val="2"/>
                <w:szCs w:val="22"/>
              </w:rPr>
              <w:t>房本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质量指标</w:t>
            </w:r>
          </w:p>
        </w:tc>
        <w:tc>
          <w:tcPr>
            <w:tcW w:w="2605" w:type="dxa"/>
            <w:vAlign w:val="center"/>
          </w:tcPr>
          <w:p>
            <w:pPr>
              <w:pStyle w:val="14"/>
              <w:rPr>
                <w:rFonts w:hAnsi="Calibri" w:cs="Arial"/>
                <w:kern w:val="2"/>
                <w:szCs w:val="22"/>
              </w:rPr>
            </w:pPr>
            <w:r>
              <w:rPr>
                <w:rFonts w:hAnsi="Calibri" w:cs="Arial"/>
                <w:kern w:val="2"/>
                <w:szCs w:val="22"/>
              </w:rPr>
              <w:t>工程质量合格率</w:t>
            </w:r>
          </w:p>
        </w:tc>
        <w:tc>
          <w:tcPr>
            <w:tcW w:w="2782" w:type="dxa"/>
            <w:vAlign w:val="center"/>
          </w:tcPr>
          <w:p>
            <w:pPr>
              <w:pStyle w:val="14"/>
              <w:rPr>
                <w:rFonts w:hAnsi="Calibri" w:cs="Arial"/>
                <w:kern w:val="2"/>
                <w:szCs w:val="22"/>
              </w:rPr>
            </w:pPr>
            <w:r>
              <w:rPr>
                <w:rFonts w:hAnsi="Calibri" w:cs="Arial"/>
                <w:kern w:val="2"/>
                <w:szCs w:val="22"/>
              </w:rPr>
              <w:t>一次性验收合格率</w:t>
            </w:r>
          </w:p>
        </w:tc>
        <w:tc>
          <w:tcPr>
            <w:tcW w:w="1843" w:type="dxa"/>
            <w:vAlign w:val="center"/>
          </w:tcPr>
          <w:p>
            <w:pPr>
              <w:pStyle w:val="14"/>
              <w:rPr>
                <w:rFonts w:hAnsi="Calibri" w:cs="Arial"/>
                <w:kern w:val="2"/>
                <w:szCs w:val="22"/>
              </w:rPr>
            </w:pPr>
            <w:r>
              <w:rPr>
                <w:rFonts w:hAnsi="Calibri" w:cs="Arial"/>
                <w:kern w:val="2"/>
                <w:szCs w:val="22"/>
              </w:rPr>
              <w:t>100%</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时效指标</w:t>
            </w:r>
          </w:p>
        </w:tc>
        <w:tc>
          <w:tcPr>
            <w:tcW w:w="2605" w:type="dxa"/>
            <w:vAlign w:val="center"/>
          </w:tcPr>
          <w:p>
            <w:pPr>
              <w:pStyle w:val="14"/>
              <w:rPr>
                <w:rFonts w:hAnsi="Calibri" w:cs="Arial"/>
                <w:kern w:val="2"/>
                <w:szCs w:val="22"/>
              </w:rPr>
            </w:pPr>
            <w:r>
              <w:rPr>
                <w:rFonts w:hAnsi="Calibri" w:cs="Arial"/>
                <w:kern w:val="2"/>
                <w:szCs w:val="22"/>
              </w:rPr>
              <w:t>完成时间</w:t>
            </w:r>
          </w:p>
        </w:tc>
        <w:tc>
          <w:tcPr>
            <w:tcW w:w="2782" w:type="dxa"/>
            <w:vAlign w:val="center"/>
          </w:tcPr>
          <w:p>
            <w:pPr>
              <w:pStyle w:val="14"/>
              <w:rPr>
                <w:rFonts w:hAnsi="Calibri" w:cs="Arial"/>
                <w:kern w:val="2"/>
                <w:szCs w:val="22"/>
              </w:rPr>
            </w:pPr>
            <w:r>
              <w:rPr>
                <w:rFonts w:hAnsi="Calibri" w:cs="Arial"/>
                <w:kern w:val="2"/>
                <w:szCs w:val="22"/>
              </w:rPr>
              <w:t>验收合格时间</w:t>
            </w:r>
          </w:p>
        </w:tc>
        <w:tc>
          <w:tcPr>
            <w:tcW w:w="1843" w:type="dxa"/>
            <w:vAlign w:val="center"/>
          </w:tcPr>
          <w:p>
            <w:pPr>
              <w:pStyle w:val="14"/>
              <w:rPr>
                <w:rFonts w:hAnsi="Calibri" w:cs="Arial"/>
                <w:kern w:val="2"/>
                <w:szCs w:val="22"/>
              </w:rPr>
            </w:pPr>
            <w:r>
              <w:rPr>
                <w:rFonts w:hAnsi="Calibri" w:cs="Arial"/>
                <w:kern w:val="2"/>
                <w:szCs w:val="22"/>
              </w:rPr>
              <w:t>2022年10月底</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成本指标</w:t>
            </w:r>
          </w:p>
        </w:tc>
        <w:tc>
          <w:tcPr>
            <w:tcW w:w="2605" w:type="dxa"/>
            <w:vAlign w:val="center"/>
          </w:tcPr>
          <w:p>
            <w:pPr>
              <w:pStyle w:val="14"/>
              <w:rPr>
                <w:rFonts w:hAnsi="Calibri" w:cs="Arial"/>
                <w:kern w:val="2"/>
                <w:szCs w:val="22"/>
              </w:rPr>
            </w:pPr>
            <w:r>
              <w:rPr>
                <w:rFonts w:hint="eastAsia" w:hAnsi="Calibri" w:cs="Arial"/>
                <w:kern w:val="2"/>
                <w:szCs w:val="22"/>
              </w:rPr>
              <w:t>资金成本</w:t>
            </w:r>
          </w:p>
        </w:tc>
        <w:tc>
          <w:tcPr>
            <w:tcW w:w="2782" w:type="dxa"/>
            <w:vAlign w:val="center"/>
          </w:tcPr>
          <w:p>
            <w:pPr>
              <w:pStyle w:val="14"/>
              <w:rPr>
                <w:rFonts w:hAnsi="Calibri" w:cs="Arial"/>
                <w:kern w:val="2"/>
                <w:szCs w:val="22"/>
              </w:rPr>
            </w:pPr>
            <w:r>
              <w:rPr>
                <w:rFonts w:hint="eastAsia" w:hAnsi="Calibri" w:cs="Arial"/>
                <w:kern w:val="2"/>
                <w:szCs w:val="22"/>
              </w:rPr>
              <w:t>办案楼改造项目资金成本控制在预算内</w:t>
            </w:r>
          </w:p>
        </w:tc>
        <w:tc>
          <w:tcPr>
            <w:tcW w:w="1843" w:type="dxa"/>
            <w:vAlign w:val="center"/>
          </w:tcPr>
          <w:p>
            <w:pPr>
              <w:pStyle w:val="14"/>
              <w:rPr>
                <w:rFonts w:hAnsi="Calibri" w:cs="Arial"/>
                <w:kern w:val="2"/>
                <w:szCs w:val="22"/>
              </w:rPr>
            </w:pPr>
            <w:r>
              <w:rPr>
                <w:rFonts w:hint="eastAsia" w:hAnsi="Calibri" w:cs="Arial"/>
                <w:kern w:val="2"/>
                <w:szCs w:val="22"/>
              </w:rPr>
              <w:t>120.36万元</w:t>
            </w:r>
          </w:p>
        </w:tc>
        <w:tc>
          <w:tcPr>
            <w:tcW w:w="2155" w:type="dxa"/>
            <w:vAlign w:val="center"/>
          </w:tcPr>
          <w:p>
            <w:pPr>
              <w:pStyle w:val="14"/>
              <w:rPr>
                <w:rFonts w:hAnsi="Calibri" w:cs="Arial"/>
                <w:kern w:val="2"/>
                <w:szCs w:val="22"/>
              </w:rPr>
            </w:pPr>
            <w:r>
              <w:rPr>
                <w:rFonts w:hint="eastAsia"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方正书宋_GBK" w:eastAsia="方正书宋_GBK"/>
                <w:b/>
              </w:rPr>
            </w:pPr>
            <w:r>
              <w:rPr>
                <w:rFonts w:ascii="方正书宋_GBK" w:eastAsia="方正书宋_GBK"/>
                <w:b/>
              </w:rPr>
              <w:t>效果指标</w:t>
            </w:r>
          </w:p>
        </w:tc>
        <w:tc>
          <w:tcPr>
            <w:tcW w:w="2268" w:type="dxa"/>
            <w:vAlign w:val="center"/>
          </w:tcPr>
          <w:p>
            <w:pPr>
              <w:pStyle w:val="14"/>
              <w:rPr>
                <w:rFonts w:hAnsi="Calibri" w:cs="Arial"/>
                <w:kern w:val="2"/>
                <w:szCs w:val="22"/>
              </w:rPr>
            </w:pPr>
            <w:r>
              <w:rPr>
                <w:rFonts w:hAnsi="Calibri" w:cs="Arial"/>
                <w:kern w:val="2"/>
                <w:szCs w:val="22"/>
              </w:rPr>
              <w:t>社会效益指标</w:t>
            </w:r>
          </w:p>
        </w:tc>
        <w:tc>
          <w:tcPr>
            <w:tcW w:w="2605" w:type="dxa"/>
            <w:vAlign w:val="center"/>
          </w:tcPr>
          <w:p>
            <w:pPr>
              <w:pStyle w:val="14"/>
              <w:rPr>
                <w:rFonts w:hAnsi="Calibri" w:cs="Arial"/>
                <w:kern w:val="2"/>
                <w:szCs w:val="22"/>
              </w:rPr>
            </w:pPr>
            <w:r>
              <w:rPr>
                <w:rFonts w:hAnsi="Calibri" w:cs="Arial"/>
                <w:kern w:val="2"/>
                <w:szCs w:val="22"/>
              </w:rPr>
              <w:t>改善办案安全状况</w:t>
            </w:r>
          </w:p>
        </w:tc>
        <w:tc>
          <w:tcPr>
            <w:tcW w:w="2782" w:type="dxa"/>
            <w:vAlign w:val="center"/>
          </w:tcPr>
          <w:p>
            <w:pPr>
              <w:pStyle w:val="14"/>
              <w:rPr>
                <w:rFonts w:hAnsi="Calibri" w:cs="Arial"/>
                <w:kern w:val="2"/>
                <w:szCs w:val="22"/>
              </w:rPr>
            </w:pPr>
            <w:r>
              <w:rPr>
                <w:rFonts w:hAnsi="Calibri" w:cs="Arial"/>
                <w:kern w:val="2"/>
                <w:szCs w:val="22"/>
              </w:rPr>
              <w:t>满足办案安全及办案人员生活环境需求</w:t>
            </w:r>
          </w:p>
        </w:tc>
        <w:tc>
          <w:tcPr>
            <w:tcW w:w="1843" w:type="dxa"/>
            <w:vAlign w:val="center"/>
          </w:tcPr>
          <w:p>
            <w:pPr>
              <w:pStyle w:val="14"/>
              <w:rPr>
                <w:rFonts w:hAnsi="Calibri" w:cs="Arial"/>
                <w:kern w:val="2"/>
                <w:szCs w:val="22"/>
              </w:rPr>
            </w:pPr>
            <w:r>
              <w:rPr>
                <w:rFonts w:hAnsi="Calibri" w:cs="Arial"/>
                <w:kern w:val="2"/>
                <w:szCs w:val="22"/>
              </w:rPr>
              <w:t>满足需求</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可持续影响指标</w:t>
            </w:r>
          </w:p>
        </w:tc>
        <w:tc>
          <w:tcPr>
            <w:tcW w:w="2605" w:type="dxa"/>
            <w:vAlign w:val="center"/>
          </w:tcPr>
          <w:p>
            <w:pPr>
              <w:pStyle w:val="14"/>
              <w:rPr>
                <w:rFonts w:hAnsi="Calibri" w:cs="Arial"/>
                <w:kern w:val="2"/>
                <w:szCs w:val="22"/>
              </w:rPr>
            </w:pPr>
            <w:r>
              <w:rPr>
                <w:rFonts w:hAnsi="Calibri" w:cs="Arial"/>
                <w:kern w:val="2"/>
                <w:szCs w:val="22"/>
              </w:rPr>
              <w:t>项目可持续期</w:t>
            </w:r>
          </w:p>
        </w:tc>
        <w:tc>
          <w:tcPr>
            <w:tcW w:w="2782" w:type="dxa"/>
            <w:vAlign w:val="center"/>
          </w:tcPr>
          <w:p>
            <w:pPr>
              <w:pStyle w:val="14"/>
              <w:rPr>
                <w:rFonts w:hAnsi="Calibri" w:cs="Arial"/>
                <w:kern w:val="2"/>
                <w:szCs w:val="22"/>
              </w:rPr>
            </w:pPr>
            <w:r>
              <w:rPr>
                <w:rFonts w:hAnsi="Calibri" w:cs="Arial"/>
                <w:kern w:val="2"/>
                <w:szCs w:val="22"/>
              </w:rPr>
              <w:t>本项目持续年限</w:t>
            </w:r>
          </w:p>
        </w:tc>
        <w:tc>
          <w:tcPr>
            <w:tcW w:w="1843" w:type="dxa"/>
            <w:vAlign w:val="center"/>
          </w:tcPr>
          <w:p>
            <w:pPr>
              <w:pStyle w:val="14"/>
              <w:rPr>
                <w:rFonts w:hAnsi="Calibri" w:cs="Arial"/>
                <w:kern w:val="2"/>
                <w:szCs w:val="22"/>
              </w:rPr>
            </w:pPr>
            <w:r>
              <w:rPr>
                <w:rFonts w:hAnsi="Calibri" w:cs="Arial"/>
                <w:kern w:val="2"/>
                <w:szCs w:val="22"/>
              </w:rPr>
              <w:t>长期使用</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满意度指标</w:t>
            </w:r>
          </w:p>
        </w:tc>
        <w:tc>
          <w:tcPr>
            <w:tcW w:w="2268" w:type="dxa"/>
            <w:vAlign w:val="center"/>
          </w:tcPr>
          <w:p>
            <w:pPr>
              <w:pStyle w:val="14"/>
              <w:rPr>
                <w:rFonts w:hAnsi="Calibri" w:cs="Arial"/>
                <w:kern w:val="2"/>
                <w:szCs w:val="22"/>
              </w:rPr>
            </w:pPr>
            <w:r>
              <w:rPr>
                <w:rFonts w:hAnsi="Calibri" w:cs="Arial"/>
                <w:kern w:val="2"/>
                <w:szCs w:val="22"/>
              </w:rPr>
              <w:t>服务对象满意度指标</w:t>
            </w:r>
          </w:p>
        </w:tc>
        <w:tc>
          <w:tcPr>
            <w:tcW w:w="2605" w:type="dxa"/>
            <w:vAlign w:val="center"/>
          </w:tcPr>
          <w:p>
            <w:pPr>
              <w:pStyle w:val="14"/>
              <w:rPr>
                <w:rFonts w:hAnsi="Calibri" w:cs="Arial"/>
                <w:kern w:val="2"/>
                <w:szCs w:val="22"/>
              </w:rPr>
            </w:pPr>
            <w:r>
              <w:rPr>
                <w:rFonts w:hAnsi="Calibri" w:cs="Arial"/>
                <w:kern w:val="2"/>
                <w:szCs w:val="22"/>
              </w:rPr>
              <w:t>驻中心人员满意度</w:t>
            </w:r>
          </w:p>
        </w:tc>
        <w:tc>
          <w:tcPr>
            <w:tcW w:w="2782" w:type="dxa"/>
            <w:vAlign w:val="center"/>
          </w:tcPr>
          <w:p>
            <w:pPr>
              <w:pStyle w:val="14"/>
              <w:rPr>
                <w:rFonts w:hAnsi="Calibri" w:cs="Arial"/>
                <w:kern w:val="2"/>
                <w:szCs w:val="22"/>
              </w:rPr>
            </w:pPr>
            <w:r>
              <w:rPr>
                <w:rFonts w:hAnsi="Calibri" w:cs="Arial"/>
                <w:kern w:val="2"/>
                <w:szCs w:val="22"/>
              </w:rPr>
              <w:t>驻中心人员满意度</w:t>
            </w:r>
          </w:p>
        </w:tc>
        <w:tc>
          <w:tcPr>
            <w:tcW w:w="1843" w:type="dxa"/>
            <w:vAlign w:val="center"/>
          </w:tcPr>
          <w:p>
            <w:pPr>
              <w:pStyle w:val="14"/>
              <w:rPr>
                <w:rFonts w:hAnsi="Calibri" w:cs="Arial"/>
                <w:kern w:val="2"/>
                <w:szCs w:val="22"/>
              </w:rPr>
            </w:pPr>
            <w:r>
              <w:rPr>
                <w:rFonts w:hAnsi="Calibri" w:cs="Arial"/>
                <w:kern w:val="2"/>
                <w:szCs w:val="22"/>
              </w:rPr>
              <w:t>≥95%</w:t>
            </w:r>
          </w:p>
        </w:tc>
        <w:tc>
          <w:tcPr>
            <w:tcW w:w="2155" w:type="dxa"/>
            <w:vAlign w:val="center"/>
          </w:tcPr>
          <w:p>
            <w:pPr>
              <w:pStyle w:val="14"/>
              <w:rPr>
                <w:rFonts w:hAnsi="Calibri" w:cs="Arial"/>
                <w:kern w:val="2"/>
                <w:szCs w:val="22"/>
              </w:rPr>
            </w:pPr>
            <w:r>
              <w:rPr>
                <w:rFonts w:hAnsi="Calibri" w:cs="Arial"/>
                <w:kern w:val="2"/>
                <w:szCs w:val="22"/>
              </w:rPr>
              <w:t>计划</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13</w:t>
      </w:r>
      <w:r>
        <w:rPr>
          <w:rFonts w:ascii="Times New Roman" w:hAnsi="Times New Roman" w:eastAsia="仿宋_GB2312" w:cs="Times New Roman"/>
          <w:sz w:val="28"/>
        </w:rPr>
        <w:t>.（</w:t>
      </w:r>
      <w:r>
        <w:rPr>
          <w:rFonts w:hint="eastAsia" w:ascii="Times New Roman" w:hAnsi="Times New Roman" w:eastAsia="仿宋_GB2312" w:cs="Times New Roman"/>
          <w:sz w:val="28"/>
        </w:rPr>
        <w:t>办案综合保障经费</w:t>
      </w:r>
      <w:r>
        <w:rPr>
          <w:rFonts w:ascii="Times New Roman" w:hAnsi="Times New Roman" w:eastAsia="仿宋_GB2312" w:cs="Times New Roman"/>
          <w:sz w:val="28"/>
        </w:rPr>
        <w:t>）绩效目标表</w:t>
      </w:r>
    </w:p>
    <w:p>
      <w:pPr>
        <w:spacing w:line="584" w:lineRule="exact"/>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605"/>
        <w:gridCol w:w="2976"/>
        <w:gridCol w:w="1649"/>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绩效目标</w:t>
            </w:r>
          </w:p>
        </w:tc>
        <w:tc>
          <w:tcPr>
            <w:tcW w:w="11653" w:type="dxa"/>
            <w:gridSpan w:val="5"/>
            <w:vAlign w:val="center"/>
          </w:tcPr>
          <w:p>
            <w:pPr>
              <w:pStyle w:val="14"/>
              <w:rPr>
                <w:rFonts w:ascii="Times New Roman" w:hAnsi="Times New Roman" w:eastAsia="仿宋_GB2312" w:cs="Times New Roman"/>
                <w:b/>
              </w:rPr>
            </w:pPr>
            <w:r>
              <w:rPr>
                <w:rFonts w:hAnsi="Calibri" w:cs="Arial"/>
                <w:kern w:val="2"/>
                <w:szCs w:val="22"/>
              </w:rPr>
              <w:t>通过项目的开展提供安全、优质食品，实现安全、舒适办案环境。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260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976"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649"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2155"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方正书宋_GBK" w:eastAsia="方正书宋_GBK"/>
                <w:b/>
              </w:rPr>
            </w:pPr>
            <w:r>
              <w:rPr>
                <w:rFonts w:ascii="方正书宋_GBK" w:eastAsia="方正书宋_GBK"/>
                <w:b/>
              </w:rPr>
              <w:t>产出指标</w:t>
            </w:r>
          </w:p>
        </w:tc>
        <w:tc>
          <w:tcPr>
            <w:tcW w:w="2268" w:type="dxa"/>
            <w:vAlign w:val="center"/>
          </w:tcPr>
          <w:p>
            <w:pPr>
              <w:pStyle w:val="14"/>
              <w:rPr>
                <w:rFonts w:hAnsi="Calibri" w:cs="Arial"/>
                <w:kern w:val="2"/>
                <w:szCs w:val="22"/>
              </w:rPr>
            </w:pPr>
            <w:r>
              <w:rPr>
                <w:rFonts w:hAnsi="Calibri" w:cs="Arial"/>
                <w:kern w:val="2"/>
                <w:szCs w:val="22"/>
              </w:rPr>
              <w:t>数量指标</w:t>
            </w:r>
          </w:p>
        </w:tc>
        <w:tc>
          <w:tcPr>
            <w:tcW w:w="2605" w:type="dxa"/>
            <w:vAlign w:val="center"/>
          </w:tcPr>
          <w:p>
            <w:pPr>
              <w:pStyle w:val="14"/>
              <w:rPr>
                <w:rFonts w:hAnsi="Calibri" w:cs="Arial"/>
                <w:kern w:val="2"/>
                <w:szCs w:val="22"/>
              </w:rPr>
            </w:pPr>
            <w:r>
              <w:rPr>
                <w:rFonts w:hAnsi="Calibri" w:cs="Arial"/>
                <w:kern w:val="2"/>
                <w:szCs w:val="22"/>
              </w:rPr>
              <w:t>工作人员数量</w:t>
            </w:r>
          </w:p>
        </w:tc>
        <w:tc>
          <w:tcPr>
            <w:tcW w:w="2976" w:type="dxa"/>
            <w:vAlign w:val="center"/>
          </w:tcPr>
          <w:p>
            <w:pPr>
              <w:pStyle w:val="14"/>
              <w:rPr>
                <w:rFonts w:hAnsi="Calibri" w:cs="Arial"/>
                <w:kern w:val="2"/>
                <w:szCs w:val="22"/>
              </w:rPr>
            </w:pPr>
            <w:r>
              <w:rPr>
                <w:rFonts w:hAnsi="Calibri" w:cs="Arial"/>
                <w:kern w:val="2"/>
                <w:szCs w:val="22"/>
              </w:rPr>
              <w:t>拟使用工作人员数量</w:t>
            </w:r>
          </w:p>
        </w:tc>
        <w:tc>
          <w:tcPr>
            <w:tcW w:w="1649" w:type="dxa"/>
            <w:vAlign w:val="center"/>
          </w:tcPr>
          <w:p>
            <w:pPr>
              <w:pStyle w:val="14"/>
              <w:rPr>
                <w:rFonts w:hAnsi="Calibri" w:cs="Arial"/>
                <w:kern w:val="2"/>
                <w:szCs w:val="22"/>
              </w:rPr>
            </w:pPr>
            <w:r>
              <w:rPr>
                <w:rFonts w:hAnsi="Calibri" w:cs="Arial"/>
                <w:kern w:val="2"/>
                <w:szCs w:val="22"/>
              </w:rPr>
              <w:t>≥</w:t>
            </w:r>
            <w:r>
              <w:rPr>
                <w:rFonts w:hint="eastAsia" w:hAnsi="Calibri" w:cs="Arial"/>
                <w:kern w:val="2"/>
                <w:szCs w:val="22"/>
                <w:lang w:eastAsia="zh-CN"/>
              </w:rPr>
              <w:t>116</w:t>
            </w:r>
            <w:r>
              <w:rPr>
                <w:rFonts w:hAnsi="Calibri" w:cs="Arial"/>
                <w:kern w:val="2"/>
                <w:szCs w:val="22"/>
              </w:rPr>
              <w:t>人</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质量指标</w:t>
            </w:r>
          </w:p>
        </w:tc>
        <w:tc>
          <w:tcPr>
            <w:tcW w:w="2605" w:type="dxa"/>
            <w:vAlign w:val="center"/>
          </w:tcPr>
          <w:p>
            <w:pPr>
              <w:pStyle w:val="14"/>
              <w:rPr>
                <w:rFonts w:hAnsi="Calibri" w:cs="Arial"/>
                <w:kern w:val="2"/>
                <w:szCs w:val="22"/>
              </w:rPr>
            </w:pPr>
            <w:r>
              <w:rPr>
                <w:rFonts w:hAnsi="Calibri" w:cs="Arial"/>
                <w:kern w:val="2"/>
                <w:szCs w:val="22"/>
              </w:rPr>
              <w:t>餐厅服务质量</w:t>
            </w:r>
          </w:p>
        </w:tc>
        <w:tc>
          <w:tcPr>
            <w:tcW w:w="2976" w:type="dxa"/>
            <w:vAlign w:val="center"/>
          </w:tcPr>
          <w:p>
            <w:pPr>
              <w:pStyle w:val="14"/>
              <w:rPr>
                <w:rFonts w:hAnsi="Calibri" w:cs="Arial"/>
                <w:kern w:val="2"/>
                <w:szCs w:val="22"/>
              </w:rPr>
            </w:pPr>
            <w:r>
              <w:rPr>
                <w:rFonts w:hAnsi="Calibri" w:cs="Arial"/>
                <w:kern w:val="2"/>
                <w:szCs w:val="22"/>
              </w:rPr>
              <w:t>承包单位餐厅服务满意率</w:t>
            </w:r>
          </w:p>
        </w:tc>
        <w:tc>
          <w:tcPr>
            <w:tcW w:w="1649" w:type="dxa"/>
            <w:vAlign w:val="center"/>
          </w:tcPr>
          <w:p>
            <w:pPr>
              <w:pStyle w:val="14"/>
              <w:rPr>
                <w:rFonts w:hAnsi="Calibri" w:cs="Arial"/>
                <w:kern w:val="2"/>
                <w:szCs w:val="22"/>
              </w:rPr>
            </w:pPr>
            <w:r>
              <w:rPr>
                <w:rFonts w:hAnsi="Calibri" w:cs="Arial"/>
                <w:kern w:val="2"/>
                <w:szCs w:val="22"/>
              </w:rPr>
              <w:t>≥95百分比</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时效指标</w:t>
            </w:r>
          </w:p>
        </w:tc>
        <w:tc>
          <w:tcPr>
            <w:tcW w:w="2605" w:type="dxa"/>
            <w:vAlign w:val="center"/>
          </w:tcPr>
          <w:p>
            <w:pPr>
              <w:pStyle w:val="14"/>
              <w:rPr>
                <w:rFonts w:hAnsi="Calibri" w:cs="Arial"/>
                <w:kern w:val="2"/>
                <w:szCs w:val="22"/>
              </w:rPr>
            </w:pPr>
            <w:r>
              <w:rPr>
                <w:rFonts w:hAnsi="Calibri" w:cs="Arial"/>
                <w:kern w:val="2"/>
                <w:szCs w:val="22"/>
              </w:rPr>
              <w:t>保障及时性</w:t>
            </w:r>
          </w:p>
        </w:tc>
        <w:tc>
          <w:tcPr>
            <w:tcW w:w="2976" w:type="dxa"/>
            <w:vAlign w:val="center"/>
          </w:tcPr>
          <w:p>
            <w:pPr>
              <w:pStyle w:val="14"/>
              <w:rPr>
                <w:rFonts w:hAnsi="Calibri" w:cs="Arial"/>
                <w:kern w:val="2"/>
                <w:szCs w:val="22"/>
              </w:rPr>
            </w:pPr>
            <w:r>
              <w:rPr>
                <w:rFonts w:hAnsi="Calibri" w:cs="Arial"/>
                <w:kern w:val="2"/>
                <w:szCs w:val="22"/>
              </w:rPr>
              <w:t>保障及时性，符合合同规定</w:t>
            </w:r>
          </w:p>
        </w:tc>
        <w:tc>
          <w:tcPr>
            <w:tcW w:w="1649"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成本指标</w:t>
            </w:r>
          </w:p>
        </w:tc>
        <w:tc>
          <w:tcPr>
            <w:tcW w:w="2605" w:type="dxa"/>
            <w:vAlign w:val="center"/>
          </w:tcPr>
          <w:p>
            <w:pPr>
              <w:pStyle w:val="14"/>
              <w:rPr>
                <w:rFonts w:hAnsi="Calibri" w:cs="Arial"/>
                <w:kern w:val="2"/>
                <w:szCs w:val="22"/>
              </w:rPr>
            </w:pPr>
            <w:r>
              <w:rPr>
                <w:rFonts w:hAnsi="Calibri" w:cs="Arial"/>
                <w:kern w:val="2"/>
                <w:szCs w:val="22"/>
              </w:rPr>
              <w:t>总体成本控制</w:t>
            </w:r>
          </w:p>
        </w:tc>
        <w:tc>
          <w:tcPr>
            <w:tcW w:w="2976" w:type="dxa"/>
            <w:vAlign w:val="center"/>
          </w:tcPr>
          <w:p>
            <w:pPr>
              <w:pStyle w:val="14"/>
              <w:rPr>
                <w:rFonts w:hAnsi="Calibri" w:cs="Arial"/>
                <w:kern w:val="2"/>
                <w:szCs w:val="22"/>
              </w:rPr>
            </w:pPr>
            <w:r>
              <w:rPr>
                <w:rFonts w:hAnsi="Calibri" w:cs="Arial"/>
                <w:kern w:val="2"/>
                <w:szCs w:val="22"/>
              </w:rPr>
              <w:t>控制总成本</w:t>
            </w:r>
          </w:p>
        </w:tc>
        <w:tc>
          <w:tcPr>
            <w:tcW w:w="1649" w:type="dxa"/>
            <w:vAlign w:val="center"/>
          </w:tcPr>
          <w:p>
            <w:pPr>
              <w:pStyle w:val="14"/>
              <w:rPr>
                <w:rFonts w:hAnsi="Calibri" w:cs="Arial"/>
                <w:kern w:val="2"/>
                <w:szCs w:val="22"/>
              </w:rPr>
            </w:pPr>
            <w:r>
              <w:rPr>
                <w:rFonts w:hAnsi="Calibri" w:cs="Arial"/>
                <w:kern w:val="2"/>
                <w:szCs w:val="22"/>
              </w:rPr>
              <w:t>≤700万元</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方正书宋_GBK" w:eastAsia="方正书宋_GBK"/>
                <w:b/>
              </w:rPr>
            </w:pPr>
            <w:r>
              <w:rPr>
                <w:rFonts w:ascii="方正书宋_GBK" w:eastAsia="方正书宋_GBK"/>
                <w:b/>
              </w:rPr>
              <w:t>效果指标</w:t>
            </w:r>
          </w:p>
        </w:tc>
        <w:tc>
          <w:tcPr>
            <w:tcW w:w="2268" w:type="dxa"/>
            <w:vAlign w:val="center"/>
          </w:tcPr>
          <w:p>
            <w:pPr>
              <w:pStyle w:val="14"/>
              <w:rPr>
                <w:rFonts w:hAnsi="Calibri" w:cs="Arial"/>
                <w:kern w:val="2"/>
                <w:szCs w:val="22"/>
              </w:rPr>
            </w:pPr>
            <w:r>
              <w:rPr>
                <w:rFonts w:hAnsi="Calibri" w:cs="Arial"/>
                <w:kern w:val="2"/>
                <w:szCs w:val="22"/>
              </w:rPr>
              <w:t>社会效益指标</w:t>
            </w:r>
          </w:p>
        </w:tc>
        <w:tc>
          <w:tcPr>
            <w:tcW w:w="2605" w:type="dxa"/>
            <w:vAlign w:val="center"/>
          </w:tcPr>
          <w:p>
            <w:pPr>
              <w:pStyle w:val="14"/>
              <w:rPr>
                <w:rFonts w:hAnsi="Calibri" w:cs="Arial"/>
                <w:kern w:val="2"/>
                <w:szCs w:val="22"/>
              </w:rPr>
            </w:pPr>
            <w:r>
              <w:rPr>
                <w:rFonts w:hAnsi="Calibri" w:cs="Arial"/>
                <w:kern w:val="2"/>
                <w:szCs w:val="22"/>
              </w:rPr>
              <w:t>保障正常运转率</w:t>
            </w:r>
          </w:p>
        </w:tc>
        <w:tc>
          <w:tcPr>
            <w:tcW w:w="2976" w:type="dxa"/>
            <w:vAlign w:val="center"/>
          </w:tcPr>
          <w:p>
            <w:pPr>
              <w:pStyle w:val="14"/>
              <w:rPr>
                <w:rFonts w:hAnsi="Calibri" w:cs="Arial"/>
                <w:kern w:val="2"/>
                <w:szCs w:val="22"/>
              </w:rPr>
            </w:pPr>
            <w:r>
              <w:rPr>
                <w:rFonts w:hAnsi="Calibri" w:cs="Arial"/>
                <w:kern w:val="2"/>
                <w:szCs w:val="22"/>
              </w:rPr>
              <w:t>保障餐厅、物业、安保等运转</w:t>
            </w:r>
          </w:p>
        </w:tc>
        <w:tc>
          <w:tcPr>
            <w:tcW w:w="1649"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可持续影响指标</w:t>
            </w:r>
          </w:p>
        </w:tc>
        <w:tc>
          <w:tcPr>
            <w:tcW w:w="2605" w:type="dxa"/>
            <w:vAlign w:val="center"/>
          </w:tcPr>
          <w:p>
            <w:pPr>
              <w:pStyle w:val="14"/>
              <w:rPr>
                <w:rFonts w:hAnsi="Calibri" w:cs="Arial"/>
                <w:kern w:val="2"/>
                <w:szCs w:val="22"/>
              </w:rPr>
            </w:pPr>
            <w:r>
              <w:rPr>
                <w:rFonts w:hAnsi="Calibri" w:cs="Arial"/>
                <w:kern w:val="2"/>
                <w:szCs w:val="22"/>
              </w:rPr>
              <w:t>项目可持续期</w:t>
            </w:r>
          </w:p>
        </w:tc>
        <w:tc>
          <w:tcPr>
            <w:tcW w:w="2976" w:type="dxa"/>
            <w:vAlign w:val="center"/>
          </w:tcPr>
          <w:p>
            <w:pPr>
              <w:pStyle w:val="14"/>
              <w:rPr>
                <w:rFonts w:hAnsi="Calibri" w:cs="Arial"/>
                <w:kern w:val="2"/>
                <w:szCs w:val="22"/>
              </w:rPr>
            </w:pPr>
            <w:r>
              <w:rPr>
                <w:rFonts w:hAnsi="Calibri" w:cs="Arial"/>
                <w:kern w:val="2"/>
                <w:szCs w:val="22"/>
              </w:rPr>
              <w:t>本项目持续年限</w:t>
            </w:r>
          </w:p>
        </w:tc>
        <w:tc>
          <w:tcPr>
            <w:tcW w:w="1649" w:type="dxa"/>
            <w:vAlign w:val="center"/>
          </w:tcPr>
          <w:p>
            <w:pPr>
              <w:pStyle w:val="14"/>
              <w:rPr>
                <w:rFonts w:hAnsi="Calibri" w:cs="Arial"/>
                <w:kern w:val="2"/>
                <w:szCs w:val="22"/>
              </w:rPr>
            </w:pPr>
            <w:r>
              <w:rPr>
                <w:rFonts w:hAnsi="Calibri" w:cs="Arial"/>
                <w:kern w:val="2"/>
                <w:szCs w:val="22"/>
              </w:rPr>
              <w:t>1年</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满意度指标</w:t>
            </w:r>
          </w:p>
        </w:tc>
        <w:tc>
          <w:tcPr>
            <w:tcW w:w="2268" w:type="dxa"/>
            <w:vAlign w:val="center"/>
          </w:tcPr>
          <w:p>
            <w:pPr>
              <w:pStyle w:val="14"/>
              <w:rPr>
                <w:rFonts w:hAnsi="Calibri" w:cs="Arial"/>
                <w:kern w:val="2"/>
                <w:szCs w:val="22"/>
              </w:rPr>
            </w:pPr>
            <w:r>
              <w:rPr>
                <w:rFonts w:hAnsi="Calibri" w:cs="Arial"/>
                <w:kern w:val="2"/>
                <w:szCs w:val="22"/>
              </w:rPr>
              <w:t>服务对象满意度指标</w:t>
            </w:r>
          </w:p>
        </w:tc>
        <w:tc>
          <w:tcPr>
            <w:tcW w:w="2605" w:type="dxa"/>
            <w:vAlign w:val="center"/>
          </w:tcPr>
          <w:p>
            <w:pPr>
              <w:pStyle w:val="14"/>
              <w:rPr>
                <w:rFonts w:hAnsi="Calibri" w:cs="Arial"/>
                <w:kern w:val="2"/>
                <w:szCs w:val="22"/>
              </w:rPr>
            </w:pPr>
            <w:r>
              <w:rPr>
                <w:rFonts w:hAnsi="Calibri" w:cs="Arial"/>
                <w:kern w:val="2"/>
                <w:szCs w:val="22"/>
              </w:rPr>
              <w:t>驻中心人员满意度</w:t>
            </w:r>
          </w:p>
        </w:tc>
        <w:tc>
          <w:tcPr>
            <w:tcW w:w="2976" w:type="dxa"/>
            <w:vAlign w:val="center"/>
          </w:tcPr>
          <w:p>
            <w:pPr>
              <w:pStyle w:val="14"/>
              <w:rPr>
                <w:rFonts w:hAnsi="Calibri" w:cs="Arial"/>
                <w:kern w:val="2"/>
                <w:szCs w:val="22"/>
              </w:rPr>
            </w:pPr>
            <w:r>
              <w:rPr>
                <w:rFonts w:hAnsi="Calibri" w:cs="Arial"/>
                <w:kern w:val="2"/>
                <w:szCs w:val="22"/>
              </w:rPr>
              <w:t>驻中心人员满意度</w:t>
            </w:r>
          </w:p>
        </w:tc>
        <w:tc>
          <w:tcPr>
            <w:tcW w:w="1649" w:type="dxa"/>
            <w:vAlign w:val="center"/>
          </w:tcPr>
          <w:p>
            <w:pPr>
              <w:pStyle w:val="14"/>
              <w:rPr>
                <w:rFonts w:hAnsi="Calibri" w:cs="Arial"/>
                <w:kern w:val="2"/>
                <w:szCs w:val="22"/>
              </w:rPr>
            </w:pPr>
            <w:r>
              <w:rPr>
                <w:rFonts w:hAnsi="Calibri" w:cs="Arial"/>
                <w:kern w:val="2"/>
                <w:szCs w:val="22"/>
              </w:rPr>
              <w:t>≥95百分比</w:t>
            </w:r>
          </w:p>
        </w:tc>
        <w:tc>
          <w:tcPr>
            <w:tcW w:w="2155" w:type="dxa"/>
            <w:vAlign w:val="center"/>
          </w:tcPr>
          <w:p>
            <w:pPr>
              <w:pStyle w:val="14"/>
              <w:rPr>
                <w:rFonts w:hAnsi="Calibri" w:cs="Arial"/>
                <w:kern w:val="2"/>
                <w:szCs w:val="22"/>
              </w:rPr>
            </w:pPr>
            <w:r>
              <w:rPr>
                <w:rFonts w:hAnsi="Calibri" w:cs="Arial"/>
                <w:kern w:val="2"/>
                <w:szCs w:val="22"/>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14</w:t>
      </w:r>
      <w:r>
        <w:rPr>
          <w:rFonts w:ascii="Times New Roman" w:hAnsi="Times New Roman" w:eastAsia="仿宋_GB2312" w:cs="Times New Roman"/>
          <w:sz w:val="28"/>
        </w:rPr>
        <w:t>.（</w:t>
      </w:r>
      <w:r>
        <w:rPr>
          <w:rFonts w:hint="eastAsia" w:ascii="Times New Roman" w:hAnsi="Times New Roman" w:eastAsia="仿宋_GB2312" w:cs="Times New Roman"/>
          <w:sz w:val="28"/>
        </w:rPr>
        <w:t>设备购置经费</w:t>
      </w:r>
      <w:r>
        <w:rPr>
          <w:rFonts w:ascii="Times New Roman" w:hAnsi="Times New Roman" w:eastAsia="仿宋_GB2312" w:cs="Times New Roman"/>
          <w:sz w:val="28"/>
        </w:rPr>
        <w:t>）绩效目标表</w:t>
      </w:r>
    </w:p>
    <w:p>
      <w:pPr>
        <w:spacing w:line="584" w:lineRule="exact"/>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605"/>
        <w:gridCol w:w="278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绩效目标</w:t>
            </w:r>
          </w:p>
        </w:tc>
        <w:tc>
          <w:tcPr>
            <w:tcW w:w="11653" w:type="dxa"/>
            <w:gridSpan w:val="5"/>
            <w:vAlign w:val="center"/>
          </w:tcPr>
          <w:p>
            <w:pPr>
              <w:pStyle w:val="14"/>
              <w:rPr>
                <w:rFonts w:ascii="Times New Roman" w:hAnsi="Times New Roman" w:eastAsia="仿宋_GB2312" w:cs="Times New Roman"/>
                <w:b/>
              </w:rPr>
            </w:pPr>
            <w:r>
              <w:rPr>
                <w:rFonts w:hAnsi="Calibri" w:cs="Arial"/>
                <w:kern w:val="2"/>
                <w:szCs w:val="22"/>
              </w:rPr>
              <w:t>通过项目的开展使设施设备安全运转，准确、有效完成留置看护任务。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260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782"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843"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2155"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方正书宋_GBK" w:eastAsia="方正书宋_GBK"/>
                <w:b/>
              </w:rPr>
            </w:pPr>
            <w:r>
              <w:rPr>
                <w:rFonts w:ascii="方正书宋_GBK" w:eastAsia="方正书宋_GBK"/>
                <w:b/>
              </w:rPr>
              <w:t>产出指标</w:t>
            </w:r>
          </w:p>
        </w:tc>
        <w:tc>
          <w:tcPr>
            <w:tcW w:w="2268" w:type="dxa"/>
            <w:vAlign w:val="center"/>
          </w:tcPr>
          <w:p>
            <w:pPr>
              <w:pStyle w:val="14"/>
              <w:rPr>
                <w:rFonts w:hAnsi="Calibri" w:cs="Arial"/>
                <w:kern w:val="2"/>
                <w:szCs w:val="22"/>
              </w:rPr>
            </w:pPr>
            <w:r>
              <w:rPr>
                <w:rFonts w:hAnsi="Calibri" w:cs="Arial"/>
                <w:kern w:val="2"/>
                <w:szCs w:val="22"/>
              </w:rPr>
              <w:t>数量指标</w:t>
            </w:r>
          </w:p>
        </w:tc>
        <w:tc>
          <w:tcPr>
            <w:tcW w:w="2605" w:type="dxa"/>
            <w:vAlign w:val="center"/>
          </w:tcPr>
          <w:p>
            <w:pPr>
              <w:pStyle w:val="14"/>
              <w:rPr>
                <w:rFonts w:hAnsi="Calibri" w:cs="Arial"/>
                <w:kern w:val="2"/>
                <w:szCs w:val="22"/>
              </w:rPr>
            </w:pPr>
            <w:r>
              <w:rPr>
                <w:rFonts w:hAnsi="Calibri" w:cs="Arial"/>
                <w:kern w:val="2"/>
                <w:szCs w:val="22"/>
              </w:rPr>
              <w:t>采购数量</w:t>
            </w:r>
          </w:p>
        </w:tc>
        <w:tc>
          <w:tcPr>
            <w:tcW w:w="2782" w:type="dxa"/>
            <w:vAlign w:val="center"/>
          </w:tcPr>
          <w:p>
            <w:pPr>
              <w:pStyle w:val="14"/>
              <w:rPr>
                <w:rFonts w:hAnsi="Calibri" w:cs="Arial"/>
                <w:kern w:val="2"/>
                <w:szCs w:val="22"/>
              </w:rPr>
            </w:pPr>
            <w:r>
              <w:rPr>
                <w:rFonts w:hAnsi="Calibri" w:cs="Arial"/>
                <w:kern w:val="2"/>
                <w:szCs w:val="22"/>
              </w:rPr>
              <w:t>采购设备数量</w:t>
            </w:r>
          </w:p>
        </w:tc>
        <w:tc>
          <w:tcPr>
            <w:tcW w:w="1843" w:type="dxa"/>
            <w:vAlign w:val="center"/>
          </w:tcPr>
          <w:p>
            <w:pPr>
              <w:pStyle w:val="14"/>
              <w:rPr>
                <w:rFonts w:hAnsi="Calibri" w:cs="Arial"/>
                <w:kern w:val="2"/>
                <w:szCs w:val="22"/>
              </w:rPr>
            </w:pPr>
            <w:r>
              <w:rPr>
                <w:rFonts w:hAnsi="Calibri" w:cs="Arial"/>
                <w:kern w:val="2"/>
                <w:szCs w:val="22"/>
              </w:rPr>
              <w:t>49台（套）</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质量指标</w:t>
            </w:r>
          </w:p>
        </w:tc>
        <w:tc>
          <w:tcPr>
            <w:tcW w:w="2605" w:type="dxa"/>
            <w:vAlign w:val="center"/>
          </w:tcPr>
          <w:p>
            <w:pPr>
              <w:pStyle w:val="14"/>
              <w:rPr>
                <w:rFonts w:hAnsi="Calibri" w:cs="Arial"/>
                <w:kern w:val="2"/>
                <w:szCs w:val="22"/>
              </w:rPr>
            </w:pPr>
            <w:r>
              <w:rPr>
                <w:rFonts w:hAnsi="Calibri" w:cs="Arial"/>
                <w:kern w:val="2"/>
                <w:szCs w:val="22"/>
              </w:rPr>
              <w:t>设备合格率</w:t>
            </w:r>
          </w:p>
        </w:tc>
        <w:tc>
          <w:tcPr>
            <w:tcW w:w="2782" w:type="dxa"/>
            <w:vAlign w:val="center"/>
          </w:tcPr>
          <w:p>
            <w:pPr>
              <w:pStyle w:val="14"/>
              <w:rPr>
                <w:rFonts w:hAnsi="Calibri" w:cs="Arial"/>
                <w:kern w:val="2"/>
                <w:szCs w:val="22"/>
              </w:rPr>
            </w:pPr>
            <w:r>
              <w:rPr>
                <w:rFonts w:hAnsi="Calibri" w:cs="Arial"/>
                <w:kern w:val="2"/>
                <w:szCs w:val="22"/>
              </w:rPr>
              <w:t>设备验收合格情况</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时效指标</w:t>
            </w:r>
          </w:p>
        </w:tc>
        <w:tc>
          <w:tcPr>
            <w:tcW w:w="2605" w:type="dxa"/>
            <w:vAlign w:val="center"/>
          </w:tcPr>
          <w:p>
            <w:pPr>
              <w:pStyle w:val="14"/>
              <w:rPr>
                <w:rFonts w:hAnsi="Calibri" w:cs="Arial"/>
                <w:kern w:val="2"/>
                <w:szCs w:val="22"/>
              </w:rPr>
            </w:pPr>
            <w:r>
              <w:rPr>
                <w:rFonts w:hAnsi="Calibri" w:cs="Arial"/>
                <w:kern w:val="2"/>
                <w:szCs w:val="22"/>
              </w:rPr>
              <w:t>项目及时性</w:t>
            </w:r>
          </w:p>
        </w:tc>
        <w:tc>
          <w:tcPr>
            <w:tcW w:w="2782" w:type="dxa"/>
            <w:vAlign w:val="center"/>
          </w:tcPr>
          <w:p>
            <w:pPr>
              <w:pStyle w:val="14"/>
              <w:rPr>
                <w:rFonts w:hAnsi="Calibri" w:cs="Arial"/>
                <w:kern w:val="2"/>
                <w:szCs w:val="22"/>
              </w:rPr>
            </w:pPr>
            <w:r>
              <w:rPr>
                <w:rFonts w:hAnsi="Calibri" w:cs="Arial"/>
                <w:kern w:val="2"/>
                <w:szCs w:val="22"/>
              </w:rPr>
              <w:t>验收合格，符合合同规定</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成本指标</w:t>
            </w:r>
          </w:p>
        </w:tc>
        <w:tc>
          <w:tcPr>
            <w:tcW w:w="2605" w:type="dxa"/>
            <w:vAlign w:val="center"/>
          </w:tcPr>
          <w:p>
            <w:pPr>
              <w:pStyle w:val="14"/>
              <w:rPr>
                <w:rFonts w:hAnsi="Calibri" w:cs="Arial"/>
                <w:kern w:val="2"/>
                <w:szCs w:val="22"/>
              </w:rPr>
            </w:pPr>
            <w:r>
              <w:rPr>
                <w:rFonts w:hAnsi="Calibri" w:cs="Arial"/>
                <w:kern w:val="2"/>
                <w:szCs w:val="22"/>
              </w:rPr>
              <w:t>总体成本控制</w:t>
            </w:r>
          </w:p>
        </w:tc>
        <w:tc>
          <w:tcPr>
            <w:tcW w:w="2782" w:type="dxa"/>
            <w:vAlign w:val="center"/>
          </w:tcPr>
          <w:p>
            <w:pPr>
              <w:pStyle w:val="14"/>
              <w:rPr>
                <w:rFonts w:hAnsi="Calibri" w:cs="Arial"/>
                <w:kern w:val="2"/>
                <w:szCs w:val="22"/>
              </w:rPr>
            </w:pPr>
            <w:r>
              <w:rPr>
                <w:rFonts w:hAnsi="Calibri" w:cs="Arial"/>
                <w:kern w:val="2"/>
                <w:szCs w:val="22"/>
              </w:rPr>
              <w:t>控制总成本</w:t>
            </w:r>
          </w:p>
        </w:tc>
        <w:tc>
          <w:tcPr>
            <w:tcW w:w="1843" w:type="dxa"/>
            <w:vAlign w:val="center"/>
          </w:tcPr>
          <w:p>
            <w:pPr>
              <w:pStyle w:val="14"/>
              <w:rPr>
                <w:rFonts w:hAnsi="Calibri" w:cs="Arial"/>
                <w:kern w:val="2"/>
                <w:szCs w:val="22"/>
              </w:rPr>
            </w:pPr>
            <w:r>
              <w:rPr>
                <w:rFonts w:hAnsi="Calibri" w:cs="Arial"/>
                <w:kern w:val="2"/>
                <w:szCs w:val="22"/>
              </w:rPr>
              <w:t>≤50万元</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方正书宋_GBK" w:eastAsia="方正书宋_GBK"/>
                <w:b/>
              </w:rPr>
            </w:pPr>
            <w:r>
              <w:rPr>
                <w:rFonts w:ascii="方正书宋_GBK" w:eastAsia="方正书宋_GBK"/>
                <w:b/>
              </w:rPr>
              <w:t>效果指标</w:t>
            </w:r>
          </w:p>
        </w:tc>
        <w:tc>
          <w:tcPr>
            <w:tcW w:w="2268" w:type="dxa"/>
            <w:vAlign w:val="center"/>
          </w:tcPr>
          <w:p>
            <w:pPr>
              <w:pStyle w:val="14"/>
              <w:rPr>
                <w:rFonts w:hAnsi="Calibri" w:cs="Arial"/>
                <w:kern w:val="2"/>
                <w:szCs w:val="22"/>
              </w:rPr>
            </w:pPr>
            <w:r>
              <w:rPr>
                <w:rFonts w:hAnsi="Calibri" w:cs="Arial"/>
                <w:kern w:val="2"/>
                <w:szCs w:val="22"/>
              </w:rPr>
              <w:t>社会效益指标</w:t>
            </w:r>
          </w:p>
        </w:tc>
        <w:tc>
          <w:tcPr>
            <w:tcW w:w="2605" w:type="dxa"/>
            <w:vAlign w:val="center"/>
          </w:tcPr>
          <w:p>
            <w:pPr>
              <w:pStyle w:val="14"/>
              <w:rPr>
                <w:rFonts w:hAnsi="Calibri" w:cs="Arial"/>
                <w:kern w:val="2"/>
                <w:szCs w:val="22"/>
              </w:rPr>
            </w:pPr>
            <w:r>
              <w:rPr>
                <w:rFonts w:hAnsi="Calibri" w:cs="Arial"/>
                <w:kern w:val="2"/>
                <w:szCs w:val="22"/>
              </w:rPr>
              <w:t>为留置工作提供保障率</w:t>
            </w:r>
          </w:p>
        </w:tc>
        <w:tc>
          <w:tcPr>
            <w:tcW w:w="2782" w:type="dxa"/>
            <w:vAlign w:val="center"/>
          </w:tcPr>
          <w:p>
            <w:pPr>
              <w:pStyle w:val="14"/>
              <w:rPr>
                <w:rFonts w:hAnsi="Calibri" w:cs="Arial"/>
                <w:kern w:val="2"/>
                <w:szCs w:val="22"/>
              </w:rPr>
            </w:pPr>
            <w:r>
              <w:rPr>
                <w:rFonts w:hAnsi="Calibri" w:cs="Arial"/>
                <w:kern w:val="2"/>
                <w:szCs w:val="22"/>
              </w:rPr>
              <w:t>通过项目实施为留置工作提供保障</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可持续影响指标</w:t>
            </w:r>
          </w:p>
        </w:tc>
        <w:tc>
          <w:tcPr>
            <w:tcW w:w="2605" w:type="dxa"/>
            <w:vAlign w:val="center"/>
          </w:tcPr>
          <w:p>
            <w:pPr>
              <w:pStyle w:val="14"/>
              <w:rPr>
                <w:rFonts w:hAnsi="Calibri" w:cs="Arial"/>
                <w:kern w:val="2"/>
                <w:szCs w:val="22"/>
              </w:rPr>
            </w:pPr>
            <w:r>
              <w:rPr>
                <w:rFonts w:hAnsi="Calibri" w:cs="Arial"/>
                <w:kern w:val="2"/>
                <w:szCs w:val="22"/>
              </w:rPr>
              <w:t>项目可持续期</w:t>
            </w:r>
          </w:p>
        </w:tc>
        <w:tc>
          <w:tcPr>
            <w:tcW w:w="2782" w:type="dxa"/>
            <w:vAlign w:val="center"/>
          </w:tcPr>
          <w:p>
            <w:pPr>
              <w:pStyle w:val="14"/>
              <w:rPr>
                <w:rFonts w:hAnsi="Calibri" w:cs="Arial"/>
                <w:kern w:val="2"/>
                <w:szCs w:val="22"/>
              </w:rPr>
            </w:pPr>
            <w:r>
              <w:rPr>
                <w:rFonts w:hAnsi="Calibri" w:cs="Arial"/>
                <w:kern w:val="2"/>
                <w:szCs w:val="22"/>
              </w:rPr>
              <w:t>本项目持续年限</w:t>
            </w:r>
          </w:p>
        </w:tc>
        <w:tc>
          <w:tcPr>
            <w:tcW w:w="1843" w:type="dxa"/>
            <w:vAlign w:val="center"/>
          </w:tcPr>
          <w:p>
            <w:pPr>
              <w:pStyle w:val="14"/>
              <w:rPr>
                <w:rFonts w:hAnsi="Calibri" w:cs="Arial"/>
                <w:kern w:val="2"/>
                <w:szCs w:val="22"/>
              </w:rPr>
            </w:pPr>
            <w:r>
              <w:rPr>
                <w:rFonts w:hAnsi="Calibri" w:cs="Arial"/>
                <w:kern w:val="2"/>
                <w:szCs w:val="22"/>
              </w:rPr>
              <w:t>长期</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满意度指标</w:t>
            </w:r>
          </w:p>
        </w:tc>
        <w:tc>
          <w:tcPr>
            <w:tcW w:w="2268" w:type="dxa"/>
            <w:vAlign w:val="center"/>
          </w:tcPr>
          <w:p>
            <w:pPr>
              <w:pStyle w:val="14"/>
              <w:rPr>
                <w:rFonts w:hAnsi="Calibri" w:cs="Arial"/>
                <w:kern w:val="2"/>
                <w:szCs w:val="22"/>
              </w:rPr>
            </w:pPr>
            <w:r>
              <w:rPr>
                <w:rFonts w:hAnsi="Calibri" w:cs="Arial"/>
                <w:kern w:val="2"/>
                <w:szCs w:val="22"/>
              </w:rPr>
              <w:t>服务对象满意度指标</w:t>
            </w:r>
          </w:p>
        </w:tc>
        <w:tc>
          <w:tcPr>
            <w:tcW w:w="2605" w:type="dxa"/>
            <w:vAlign w:val="center"/>
          </w:tcPr>
          <w:p>
            <w:pPr>
              <w:pStyle w:val="14"/>
              <w:rPr>
                <w:rFonts w:hAnsi="Calibri" w:cs="Arial"/>
                <w:kern w:val="2"/>
                <w:szCs w:val="22"/>
              </w:rPr>
            </w:pPr>
            <w:r>
              <w:rPr>
                <w:rFonts w:hAnsi="Calibri" w:cs="Arial"/>
                <w:kern w:val="2"/>
                <w:szCs w:val="22"/>
              </w:rPr>
              <w:t>驻中心人员满意度</w:t>
            </w:r>
          </w:p>
        </w:tc>
        <w:tc>
          <w:tcPr>
            <w:tcW w:w="2782" w:type="dxa"/>
            <w:vAlign w:val="center"/>
          </w:tcPr>
          <w:p>
            <w:pPr>
              <w:pStyle w:val="14"/>
              <w:rPr>
                <w:rFonts w:hAnsi="Calibri" w:cs="Arial"/>
                <w:kern w:val="2"/>
                <w:szCs w:val="22"/>
              </w:rPr>
            </w:pPr>
            <w:r>
              <w:rPr>
                <w:rFonts w:hAnsi="Calibri" w:cs="Arial"/>
                <w:kern w:val="2"/>
                <w:szCs w:val="22"/>
              </w:rPr>
              <w:t>驻中心人员满意度</w:t>
            </w:r>
          </w:p>
        </w:tc>
        <w:tc>
          <w:tcPr>
            <w:tcW w:w="1843" w:type="dxa"/>
            <w:vAlign w:val="center"/>
          </w:tcPr>
          <w:p>
            <w:pPr>
              <w:pStyle w:val="14"/>
              <w:rPr>
                <w:rFonts w:hAnsi="Calibri" w:cs="Arial"/>
                <w:kern w:val="2"/>
                <w:szCs w:val="22"/>
              </w:rPr>
            </w:pPr>
            <w:r>
              <w:rPr>
                <w:rFonts w:hAnsi="Calibri" w:cs="Arial"/>
                <w:kern w:val="2"/>
                <w:szCs w:val="22"/>
              </w:rPr>
              <w:t>≥95百分比</w:t>
            </w:r>
          </w:p>
        </w:tc>
        <w:tc>
          <w:tcPr>
            <w:tcW w:w="2155" w:type="dxa"/>
            <w:vAlign w:val="center"/>
          </w:tcPr>
          <w:p>
            <w:pPr>
              <w:pStyle w:val="14"/>
              <w:rPr>
                <w:rFonts w:hAnsi="Calibri" w:cs="Arial"/>
                <w:kern w:val="2"/>
                <w:szCs w:val="22"/>
              </w:rPr>
            </w:pPr>
            <w:r>
              <w:rPr>
                <w:rFonts w:hAnsi="Calibri" w:cs="Arial"/>
                <w:kern w:val="2"/>
                <w:szCs w:val="22"/>
              </w:rPr>
              <w:t>问卷调查</w:t>
            </w:r>
          </w:p>
        </w:tc>
      </w:tr>
    </w:tbl>
    <w:p>
      <w:pPr>
        <w:spacing w:line="584" w:lineRule="exact"/>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15</w:t>
      </w:r>
      <w:r>
        <w:rPr>
          <w:rFonts w:ascii="Times New Roman" w:hAnsi="Times New Roman" w:eastAsia="仿宋_GB2312" w:cs="Times New Roman"/>
          <w:sz w:val="28"/>
        </w:rPr>
        <w:t>.（</w:t>
      </w:r>
      <w:r>
        <w:rPr>
          <w:rFonts w:hint="eastAsia" w:ascii="Times New Roman" w:hAnsi="Times New Roman" w:eastAsia="仿宋_GB2312" w:cs="Times New Roman"/>
          <w:sz w:val="28"/>
        </w:rPr>
        <w:t>院区维修改造经费</w:t>
      </w:r>
      <w:r>
        <w:rPr>
          <w:rFonts w:ascii="Times New Roman" w:hAnsi="Times New Roman" w:eastAsia="仿宋_GB2312" w:cs="Times New Roman"/>
          <w:sz w:val="28"/>
        </w:rPr>
        <w:t>）绩效目标表</w:t>
      </w:r>
    </w:p>
    <w:p>
      <w:pPr>
        <w:spacing w:line="584" w:lineRule="exact"/>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605"/>
        <w:gridCol w:w="278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绩效目标</w:t>
            </w:r>
          </w:p>
        </w:tc>
        <w:tc>
          <w:tcPr>
            <w:tcW w:w="11653" w:type="dxa"/>
            <w:gridSpan w:val="5"/>
            <w:vAlign w:val="center"/>
          </w:tcPr>
          <w:p>
            <w:pPr>
              <w:pStyle w:val="14"/>
              <w:rPr>
                <w:rFonts w:ascii="Times New Roman" w:hAnsi="Times New Roman" w:eastAsia="仿宋_GB2312" w:cs="Times New Roman"/>
                <w:b/>
              </w:rPr>
            </w:pPr>
            <w:r>
              <w:rPr>
                <w:rFonts w:hAnsi="Calibri" w:cs="Arial"/>
                <w:kern w:val="2"/>
                <w:szCs w:val="22"/>
              </w:rPr>
              <w:t>通过项目的开展使设施设备安全运转，准确、有效完成留置看护任务。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ascii="方正书宋_GBK" w:eastAsia="方正书宋_GBK"/>
                <w:b/>
              </w:rPr>
              <w:t>二级指标</w:t>
            </w:r>
          </w:p>
        </w:tc>
        <w:tc>
          <w:tcPr>
            <w:tcW w:w="2605" w:type="dxa"/>
            <w:vAlign w:val="center"/>
          </w:tcPr>
          <w:p>
            <w:pPr>
              <w:spacing w:line="300" w:lineRule="exact"/>
              <w:jc w:val="center"/>
              <w:rPr>
                <w:rFonts w:ascii="方正书宋_GBK" w:eastAsia="方正书宋_GBK"/>
                <w:b/>
              </w:rPr>
            </w:pPr>
            <w:r>
              <w:rPr>
                <w:rFonts w:ascii="方正书宋_GBK" w:eastAsia="方正书宋_GBK"/>
                <w:b/>
              </w:rPr>
              <w:t>三级指标</w:t>
            </w:r>
          </w:p>
        </w:tc>
        <w:tc>
          <w:tcPr>
            <w:tcW w:w="2782" w:type="dxa"/>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843" w:type="dxa"/>
            <w:vAlign w:val="center"/>
          </w:tcPr>
          <w:p>
            <w:pPr>
              <w:spacing w:line="300" w:lineRule="exact"/>
              <w:jc w:val="center"/>
              <w:rPr>
                <w:rFonts w:ascii="方正书宋_GBK" w:eastAsia="方正书宋_GBK"/>
                <w:b/>
              </w:rPr>
            </w:pPr>
            <w:r>
              <w:rPr>
                <w:rFonts w:ascii="方正书宋_GBK" w:eastAsia="方正书宋_GBK"/>
                <w:b/>
              </w:rPr>
              <w:t>指标值</w:t>
            </w:r>
          </w:p>
        </w:tc>
        <w:tc>
          <w:tcPr>
            <w:tcW w:w="2155" w:type="dxa"/>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方正书宋_GBK" w:eastAsia="方正书宋_GBK"/>
                <w:b/>
              </w:rPr>
            </w:pPr>
            <w:r>
              <w:rPr>
                <w:rFonts w:ascii="方正书宋_GBK" w:eastAsia="方正书宋_GBK"/>
                <w:b/>
              </w:rPr>
              <w:t>产出指标</w:t>
            </w:r>
          </w:p>
        </w:tc>
        <w:tc>
          <w:tcPr>
            <w:tcW w:w="2268" w:type="dxa"/>
            <w:vAlign w:val="center"/>
          </w:tcPr>
          <w:p>
            <w:pPr>
              <w:pStyle w:val="14"/>
              <w:rPr>
                <w:rFonts w:hAnsi="Calibri" w:cs="Arial"/>
                <w:kern w:val="2"/>
                <w:szCs w:val="22"/>
              </w:rPr>
            </w:pPr>
            <w:r>
              <w:rPr>
                <w:rFonts w:hAnsi="Calibri" w:cs="Arial"/>
                <w:kern w:val="2"/>
                <w:szCs w:val="22"/>
              </w:rPr>
              <w:t>数量指标</w:t>
            </w:r>
          </w:p>
        </w:tc>
        <w:tc>
          <w:tcPr>
            <w:tcW w:w="2605" w:type="dxa"/>
            <w:vAlign w:val="center"/>
          </w:tcPr>
          <w:p>
            <w:pPr>
              <w:pStyle w:val="14"/>
              <w:rPr>
                <w:rFonts w:hAnsi="Calibri" w:cs="Arial"/>
                <w:kern w:val="2"/>
                <w:szCs w:val="22"/>
              </w:rPr>
            </w:pPr>
            <w:r>
              <w:rPr>
                <w:rFonts w:hAnsi="Calibri" w:cs="Arial"/>
                <w:kern w:val="2"/>
                <w:szCs w:val="22"/>
              </w:rPr>
              <w:t>保障建筑面积</w:t>
            </w:r>
          </w:p>
        </w:tc>
        <w:tc>
          <w:tcPr>
            <w:tcW w:w="2782" w:type="dxa"/>
            <w:vAlign w:val="center"/>
          </w:tcPr>
          <w:p>
            <w:pPr>
              <w:pStyle w:val="14"/>
              <w:rPr>
                <w:rFonts w:hAnsi="Calibri" w:cs="Arial"/>
                <w:kern w:val="2"/>
                <w:szCs w:val="22"/>
              </w:rPr>
            </w:pPr>
            <w:r>
              <w:rPr>
                <w:rFonts w:hAnsi="Calibri" w:cs="Arial"/>
                <w:kern w:val="2"/>
                <w:szCs w:val="22"/>
              </w:rPr>
              <w:t>项目涉及建筑面积</w:t>
            </w:r>
          </w:p>
        </w:tc>
        <w:tc>
          <w:tcPr>
            <w:tcW w:w="1843" w:type="dxa"/>
            <w:vAlign w:val="center"/>
          </w:tcPr>
          <w:p>
            <w:pPr>
              <w:pStyle w:val="14"/>
              <w:rPr>
                <w:rFonts w:hAnsi="Calibri" w:cs="Arial"/>
                <w:kern w:val="2"/>
                <w:szCs w:val="22"/>
              </w:rPr>
            </w:pPr>
            <w:r>
              <w:rPr>
                <w:rFonts w:hAnsi="Calibri" w:cs="Arial"/>
                <w:kern w:val="2"/>
                <w:szCs w:val="22"/>
              </w:rPr>
              <w:t>1.9万平米</w:t>
            </w:r>
          </w:p>
        </w:tc>
        <w:tc>
          <w:tcPr>
            <w:tcW w:w="2155" w:type="dxa"/>
            <w:vAlign w:val="center"/>
          </w:tcPr>
          <w:p>
            <w:pPr>
              <w:pStyle w:val="14"/>
              <w:rPr>
                <w:rFonts w:hAnsi="Calibri" w:cs="Arial"/>
                <w:kern w:val="2"/>
                <w:szCs w:val="22"/>
              </w:rPr>
            </w:pPr>
            <w:r>
              <w:rPr>
                <w:rFonts w:hAnsi="Calibri" w:cs="Arial"/>
                <w:kern w:val="2"/>
                <w:szCs w:val="22"/>
              </w:rPr>
              <w:t>房本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质量指标</w:t>
            </w:r>
          </w:p>
        </w:tc>
        <w:tc>
          <w:tcPr>
            <w:tcW w:w="2605" w:type="dxa"/>
            <w:vAlign w:val="center"/>
          </w:tcPr>
          <w:p>
            <w:pPr>
              <w:pStyle w:val="14"/>
              <w:rPr>
                <w:rFonts w:hAnsi="Calibri" w:cs="Arial"/>
                <w:kern w:val="2"/>
                <w:szCs w:val="22"/>
              </w:rPr>
            </w:pPr>
            <w:r>
              <w:rPr>
                <w:rFonts w:hAnsi="Calibri" w:cs="Arial"/>
                <w:kern w:val="2"/>
                <w:szCs w:val="22"/>
              </w:rPr>
              <w:t>工程质量合格率</w:t>
            </w:r>
          </w:p>
        </w:tc>
        <w:tc>
          <w:tcPr>
            <w:tcW w:w="2782" w:type="dxa"/>
            <w:vAlign w:val="center"/>
          </w:tcPr>
          <w:p>
            <w:pPr>
              <w:pStyle w:val="14"/>
              <w:rPr>
                <w:rFonts w:hAnsi="Calibri" w:cs="Arial"/>
                <w:kern w:val="2"/>
                <w:szCs w:val="22"/>
              </w:rPr>
            </w:pPr>
            <w:r>
              <w:rPr>
                <w:rFonts w:hAnsi="Calibri" w:cs="Arial"/>
                <w:kern w:val="2"/>
                <w:szCs w:val="22"/>
              </w:rPr>
              <w:t>一次性验收合格率</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时效指标</w:t>
            </w:r>
          </w:p>
        </w:tc>
        <w:tc>
          <w:tcPr>
            <w:tcW w:w="2605" w:type="dxa"/>
            <w:vAlign w:val="center"/>
          </w:tcPr>
          <w:p>
            <w:pPr>
              <w:pStyle w:val="14"/>
              <w:rPr>
                <w:rFonts w:hAnsi="Calibri" w:cs="Arial"/>
                <w:kern w:val="2"/>
                <w:szCs w:val="22"/>
              </w:rPr>
            </w:pPr>
            <w:r>
              <w:rPr>
                <w:rFonts w:hAnsi="Calibri" w:cs="Arial"/>
                <w:kern w:val="2"/>
                <w:szCs w:val="22"/>
              </w:rPr>
              <w:t>项目及时性</w:t>
            </w:r>
          </w:p>
        </w:tc>
        <w:tc>
          <w:tcPr>
            <w:tcW w:w="2782" w:type="dxa"/>
            <w:vAlign w:val="center"/>
          </w:tcPr>
          <w:p>
            <w:pPr>
              <w:pStyle w:val="14"/>
              <w:rPr>
                <w:rFonts w:hAnsi="Calibri" w:cs="Arial"/>
                <w:kern w:val="2"/>
                <w:szCs w:val="22"/>
              </w:rPr>
            </w:pPr>
            <w:r>
              <w:rPr>
                <w:rFonts w:hAnsi="Calibri" w:cs="Arial"/>
                <w:kern w:val="2"/>
                <w:szCs w:val="22"/>
              </w:rPr>
              <w:t>项目及时性，符合合同规定</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ascii="方正书宋_GBK" w:eastAsia="方正书宋_GBK"/>
                <w:b/>
              </w:rPr>
            </w:pPr>
          </w:p>
        </w:tc>
        <w:tc>
          <w:tcPr>
            <w:tcW w:w="2268" w:type="dxa"/>
            <w:vAlign w:val="center"/>
          </w:tcPr>
          <w:p>
            <w:pPr>
              <w:pStyle w:val="14"/>
              <w:rPr>
                <w:rFonts w:hAnsi="Calibri" w:cs="Arial"/>
                <w:kern w:val="2"/>
                <w:szCs w:val="22"/>
              </w:rPr>
            </w:pPr>
            <w:r>
              <w:rPr>
                <w:rFonts w:hAnsi="Calibri" w:cs="Arial"/>
                <w:kern w:val="2"/>
                <w:szCs w:val="22"/>
              </w:rPr>
              <w:t>成本指标</w:t>
            </w:r>
          </w:p>
        </w:tc>
        <w:tc>
          <w:tcPr>
            <w:tcW w:w="2605" w:type="dxa"/>
            <w:vAlign w:val="center"/>
          </w:tcPr>
          <w:p>
            <w:pPr>
              <w:pStyle w:val="14"/>
              <w:rPr>
                <w:rFonts w:hAnsi="Calibri" w:cs="Arial"/>
                <w:kern w:val="2"/>
                <w:szCs w:val="22"/>
              </w:rPr>
            </w:pPr>
            <w:r>
              <w:rPr>
                <w:rFonts w:hAnsi="Calibri" w:cs="Arial"/>
                <w:kern w:val="2"/>
                <w:szCs w:val="22"/>
              </w:rPr>
              <w:t>总体成本控制</w:t>
            </w:r>
          </w:p>
        </w:tc>
        <w:tc>
          <w:tcPr>
            <w:tcW w:w="2782" w:type="dxa"/>
            <w:vAlign w:val="center"/>
          </w:tcPr>
          <w:p>
            <w:pPr>
              <w:pStyle w:val="14"/>
              <w:rPr>
                <w:rFonts w:hAnsi="Calibri" w:cs="Arial"/>
                <w:kern w:val="2"/>
                <w:szCs w:val="22"/>
              </w:rPr>
            </w:pPr>
            <w:r>
              <w:rPr>
                <w:rFonts w:hAnsi="Calibri" w:cs="Arial"/>
                <w:kern w:val="2"/>
                <w:szCs w:val="22"/>
              </w:rPr>
              <w:t>控制总成本</w:t>
            </w:r>
          </w:p>
        </w:tc>
        <w:tc>
          <w:tcPr>
            <w:tcW w:w="1843" w:type="dxa"/>
            <w:vAlign w:val="center"/>
          </w:tcPr>
          <w:p>
            <w:pPr>
              <w:pStyle w:val="14"/>
              <w:rPr>
                <w:rFonts w:hAnsi="Calibri" w:cs="Arial"/>
                <w:kern w:val="2"/>
                <w:szCs w:val="22"/>
              </w:rPr>
            </w:pPr>
            <w:r>
              <w:rPr>
                <w:rFonts w:hAnsi="Calibri" w:cs="Arial"/>
                <w:kern w:val="2"/>
                <w:szCs w:val="22"/>
              </w:rPr>
              <w:t>≤100万元</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方正书宋_GBK" w:eastAsia="方正书宋_GBK"/>
                <w:b/>
              </w:rPr>
            </w:pPr>
            <w:r>
              <w:rPr>
                <w:rFonts w:ascii="方正书宋_GBK" w:eastAsia="方正书宋_GBK"/>
                <w:b/>
              </w:rPr>
              <w:t>效果指标</w:t>
            </w:r>
          </w:p>
        </w:tc>
        <w:tc>
          <w:tcPr>
            <w:tcW w:w="2268" w:type="dxa"/>
            <w:vAlign w:val="center"/>
          </w:tcPr>
          <w:p>
            <w:pPr>
              <w:pStyle w:val="14"/>
              <w:rPr>
                <w:rFonts w:hAnsi="Calibri" w:cs="Arial"/>
                <w:kern w:val="2"/>
                <w:szCs w:val="22"/>
              </w:rPr>
            </w:pPr>
            <w:r>
              <w:rPr>
                <w:rFonts w:hAnsi="Calibri" w:cs="Arial"/>
                <w:kern w:val="2"/>
                <w:szCs w:val="22"/>
              </w:rPr>
              <w:t>社会效益指标</w:t>
            </w:r>
          </w:p>
        </w:tc>
        <w:tc>
          <w:tcPr>
            <w:tcW w:w="2605" w:type="dxa"/>
            <w:vAlign w:val="center"/>
          </w:tcPr>
          <w:p>
            <w:pPr>
              <w:pStyle w:val="14"/>
              <w:rPr>
                <w:rFonts w:hAnsi="Calibri" w:cs="Arial"/>
                <w:kern w:val="2"/>
                <w:szCs w:val="22"/>
              </w:rPr>
            </w:pPr>
            <w:r>
              <w:rPr>
                <w:rFonts w:hAnsi="Calibri" w:cs="Arial"/>
                <w:kern w:val="2"/>
                <w:szCs w:val="22"/>
              </w:rPr>
              <w:t>保障基地正常运转率</w:t>
            </w:r>
          </w:p>
        </w:tc>
        <w:tc>
          <w:tcPr>
            <w:tcW w:w="2782" w:type="dxa"/>
            <w:vAlign w:val="center"/>
          </w:tcPr>
          <w:p>
            <w:pPr>
              <w:pStyle w:val="14"/>
              <w:rPr>
                <w:rFonts w:hAnsi="Calibri" w:cs="Arial"/>
                <w:kern w:val="2"/>
                <w:szCs w:val="22"/>
              </w:rPr>
            </w:pPr>
            <w:r>
              <w:rPr>
                <w:rFonts w:hAnsi="Calibri" w:cs="Arial"/>
                <w:kern w:val="2"/>
                <w:szCs w:val="22"/>
              </w:rPr>
              <w:t>保障基地正常运转率</w:t>
            </w:r>
          </w:p>
        </w:tc>
        <w:tc>
          <w:tcPr>
            <w:tcW w:w="1843" w:type="dxa"/>
            <w:vAlign w:val="center"/>
          </w:tcPr>
          <w:p>
            <w:pPr>
              <w:pStyle w:val="14"/>
              <w:rPr>
                <w:rFonts w:hAnsi="Calibri" w:cs="Arial"/>
                <w:kern w:val="2"/>
                <w:szCs w:val="22"/>
              </w:rPr>
            </w:pPr>
            <w:r>
              <w:rPr>
                <w:rFonts w:hAnsi="Calibri" w:cs="Arial"/>
                <w:kern w:val="2"/>
                <w:szCs w:val="22"/>
              </w:rPr>
              <w:t>100百分比</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pStyle w:val="14"/>
              <w:rPr>
                <w:rFonts w:hAnsi="Calibri" w:cs="Arial"/>
                <w:kern w:val="2"/>
                <w:szCs w:val="22"/>
              </w:rPr>
            </w:pPr>
            <w:r>
              <w:rPr>
                <w:rFonts w:hAnsi="Calibri" w:cs="Arial"/>
                <w:kern w:val="2"/>
                <w:szCs w:val="22"/>
              </w:rPr>
              <w:t>可持续影响指标</w:t>
            </w:r>
          </w:p>
        </w:tc>
        <w:tc>
          <w:tcPr>
            <w:tcW w:w="2605" w:type="dxa"/>
            <w:vAlign w:val="center"/>
          </w:tcPr>
          <w:p>
            <w:pPr>
              <w:pStyle w:val="14"/>
              <w:rPr>
                <w:rFonts w:hAnsi="Calibri" w:cs="Arial"/>
                <w:kern w:val="2"/>
                <w:szCs w:val="22"/>
              </w:rPr>
            </w:pPr>
            <w:r>
              <w:rPr>
                <w:rFonts w:hAnsi="Calibri" w:cs="Arial"/>
                <w:kern w:val="2"/>
                <w:szCs w:val="22"/>
              </w:rPr>
              <w:t>项目可持续期</w:t>
            </w:r>
          </w:p>
        </w:tc>
        <w:tc>
          <w:tcPr>
            <w:tcW w:w="2782" w:type="dxa"/>
            <w:vAlign w:val="center"/>
          </w:tcPr>
          <w:p>
            <w:pPr>
              <w:pStyle w:val="14"/>
              <w:rPr>
                <w:rFonts w:hAnsi="Calibri" w:cs="Arial"/>
                <w:kern w:val="2"/>
                <w:szCs w:val="22"/>
              </w:rPr>
            </w:pPr>
            <w:r>
              <w:rPr>
                <w:rFonts w:hAnsi="Calibri" w:cs="Arial"/>
                <w:kern w:val="2"/>
                <w:szCs w:val="22"/>
              </w:rPr>
              <w:t>本项目持续年限</w:t>
            </w:r>
          </w:p>
        </w:tc>
        <w:tc>
          <w:tcPr>
            <w:tcW w:w="1843" w:type="dxa"/>
            <w:vAlign w:val="center"/>
          </w:tcPr>
          <w:p>
            <w:pPr>
              <w:pStyle w:val="14"/>
              <w:rPr>
                <w:rFonts w:hAnsi="Calibri" w:cs="Arial"/>
                <w:kern w:val="2"/>
                <w:szCs w:val="22"/>
              </w:rPr>
            </w:pPr>
            <w:r>
              <w:rPr>
                <w:rFonts w:hAnsi="Calibri" w:cs="Arial"/>
                <w:kern w:val="2"/>
                <w:szCs w:val="22"/>
              </w:rPr>
              <w:t>1年</w:t>
            </w:r>
          </w:p>
        </w:tc>
        <w:tc>
          <w:tcPr>
            <w:tcW w:w="2155" w:type="dxa"/>
            <w:vAlign w:val="center"/>
          </w:tcPr>
          <w:p>
            <w:pPr>
              <w:pStyle w:val="14"/>
              <w:rPr>
                <w:rFonts w:hAnsi="Calibri" w:cs="Arial"/>
                <w:kern w:val="2"/>
                <w:szCs w:val="22"/>
              </w:rPr>
            </w:pPr>
            <w:r>
              <w:rPr>
                <w:rFonts w:hAnsi="Calibri" w:cs="Arial"/>
                <w:kern w:val="2"/>
                <w:szCs w:val="2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方正书宋_GBK" w:eastAsia="方正书宋_GBK"/>
                <w:b/>
              </w:rPr>
            </w:pPr>
            <w:r>
              <w:rPr>
                <w:rFonts w:ascii="方正书宋_GBK" w:eastAsia="方正书宋_GBK"/>
                <w:b/>
              </w:rPr>
              <w:t>满意度指标</w:t>
            </w:r>
          </w:p>
        </w:tc>
        <w:tc>
          <w:tcPr>
            <w:tcW w:w="2268" w:type="dxa"/>
            <w:vAlign w:val="center"/>
          </w:tcPr>
          <w:p>
            <w:pPr>
              <w:pStyle w:val="14"/>
              <w:rPr>
                <w:rFonts w:hAnsi="Calibri" w:cs="Arial"/>
                <w:kern w:val="2"/>
                <w:szCs w:val="22"/>
              </w:rPr>
            </w:pPr>
            <w:r>
              <w:rPr>
                <w:rFonts w:hAnsi="Calibri" w:cs="Arial"/>
                <w:kern w:val="2"/>
                <w:szCs w:val="22"/>
              </w:rPr>
              <w:t>服务对象满意度指标</w:t>
            </w:r>
          </w:p>
        </w:tc>
        <w:tc>
          <w:tcPr>
            <w:tcW w:w="2605" w:type="dxa"/>
            <w:vAlign w:val="center"/>
          </w:tcPr>
          <w:p>
            <w:pPr>
              <w:pStyle w:val="14"/>
              <w:rPr>
                <w:rFonts w:hAnsi="Calibri" w:cs="Arial"/>
                <w:kern w:val="2"/>
                <w:szCs w:val="22"/>
              </w:rPr>
            </w:pPr>
            <w:r>
              <w:rPr>
                <w:rFonts w:hAnsi="Calibri" w:cs="Arial"/>
                <w:kern w:val="2"/>
                <w:szCs w:val="22"/>
              </w:rPr>
              <w:t>驻中心人员满意度</w:t>
            </w:r>
          </w:p>
        </w:tc>
        <w:tc>
          <w:tcPr>
            <w:tcW w:w="2782" w:type="dxa"/>
            <w:vAlign w:val="center"/>
          </w:tcPr>
          <w:p>
            <w:pPr>
              <w:pStyle w:val="14"/>
              <w:rPr>
                <w:rFonts w:hAnsi="Calibri" w:cs="Arial"/>
                <w:kern w:val="2"/>
                <w:szCs w:val="22"/>
              </w:rPr>
            </w:pPr>
            <w:r>
              <w:rPr>
                <w:rFonts w:hAnsi="Calibri" w:cs="Arial"/>
                <w:kern w:val="2"/>
                <w:szCs w:val="22"/>
              </w:rPr>
              <w:t>驻中心人员满意度</w:t>
            </w:r>
          </w:p>
        </w:tc>
        <w:tc>
          <w:tcPr>
            <w:tcW w:w="1843" w:type="dxa"/>
            <w:vAlign w:val="center"/>
          </w:tcPr>
          <w:p>
            <w:pPr>
              <w:pStyle w:val="14"/>
              <w:rPr>
                <w:rFonts w:hAnsi="Calibri" w:cs="Arial"/>
                <w:kern w:val="2"/>
                <w:szCs w:val="22"/>
              </w:rPr>
            </w:pPr>
            <w:r>
              <w:rPr>
                <w:rFonts w:hAnsi="Calibri" w:cs="Arial"/>
                <w:kern w:val="2"/>
                <w:szCs w:val="22"/>
              </w:rPr>
              <w:t>≥95百分比</w:t>
            </w:r>
          </w:p>
        </w:tc>
        <w:tc>
          <w:tcPr>
            <w:tcW w:w="2155" w:type="dxa"/>
            <w:vAlign w:val="center"/>
          </w:tcPr>
          <w:p>
            <w:pPr>
              <w:pStyle w:val="14"/>
              <w:rPr>
                <w:rFonts w:hAnsi="Calibri" w:cs="Arial"/>
                <w:kern w:val="2"/>
                <w:szCs w:val="22"/>
              </w:rPr>
            </w:pPr>
            <w:r>
              <w:rPr>
                <w:rFonts w:hAnsi="Calibri" w:cs="Arial"/>
                <w:kern w:val="2"/>
                <w:szCs w:val="22"/>
              </w:rPr>
              <w:t>问卷调查</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583.10</w:t>
      </w:r>
      <w:r>
        <w:rPr>
          <w:rFonts w:ascii="Times New Roman" w:hAnsi="Times New Roman" w:eastAsia="仿宋_GB2312" w:cs="Times New Roman"/>
          <w:sz w:val="32"/>
          <w:szCs w:val="24"/>
        </w:rPr>
        <w:t>万元。具体内容见下表。</w:t>
      </w:r>
    </w:p>
    <w:p>
      <w:pPr>
        <w:spacing w:line="584" w:lineRule="exact"/>
        <w:ind w:firstLine="640" w:firstLineChars="200"/>
        <w:outlineLvl w:val="0"/>
        <w:rPr>
          <w:rFonts w:ascii="Times New Roman" w:hAnsi="Times New Roman" w:eastAsia="仿宋_GB2312" w:cs="Times New Roman"/>
          <w:sz w:val="32"/>
          <w:szCs w:val="24"/>
        </w:rPr>
      </w:pPr>
    </w:p>
    <w:p>
      <w:pPr>
        <w:spacing w:line="584" w:lineRule="exact"/>
        <w:ind w:firstLine="640" w:firstLineChars="200"/>
        <w:outlineLvl w:val="0"/>
        <w:rPr>
          <w:rFonts w:ascii="Times New Roman" w:hAnsi="Times New Roman" w:eastAsia="仿宋_GB2312" w:cs="Times New Roman"/>
          <w:sz w:val="32"/>
          <w:szCs w:val="24"/>
        </w:rPr>
      </w:pP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jc w:val="center"/>
        <w:outlineLvl w:val="1"/>
        <w:rPr>
          <w:rFonts w:ascii="方正小标宋_GBK" w:eastAsia="方正小标宋_GBK" w:cs="Times New Roman"/>
          <w:sz w:val="18"/>
          <w:szCs w:val="18"/>
        </w:rPr>
      </w:pPr>
      <w:r>
        <w:rPr>
          <w:rFonts w:hint="eastAsia"/>
          <w:sz w:val="18"/>
          <w:szCs w:val="18"/>
        </w:rPr>
        <w:t>中国共产党廊坊市纪律检查委员会</w:t>
      </w:r>
      <w:r>
        <w:rPr>
          <w:sz w:val="18"/>
          <w:szCs w:val="18"/>
        </w:rP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766"/>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95" w:type="dxa"/>
            <w:vAlign w:val="center"/>
          </w:tcPr>
          <w:p>
            <w:pPr>
              <w:pStyle w:val="12"/>
            </w:pPr>
            <w:r>
              <w:t>项目名称</w:t>
            </w:r>
          </w:p>
        </w:tc>
        <w:tc>
          <w:tcPr>
            <w:tcW w:w="766"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6"/>
            </w:pPr>
            <w:r>
              <w:t>合  计</w:t>
            </w:r>
          </w:p>
        </w:tc>
        <w:tc>
          <w:tcPr>
            <w:tcW w:w="766"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lang w:eastAsia="zh-CN"/>
              </w:rPr>
            </w:pPr>
            <w:r>
              <w:rPr>
                <w:rFonts w:hint="eastAsia"/>
                <w:lang w:eastAsia="zh-CN"/>
              </w:rPr>
              <w:t>583.10</w:t>
            </w:r>
          </w:p>
        </w:tc>
        <w:tc>
          <w:tcPr>
            <w:tcW w:w="964" w:type="dxa"/>
            <w:vAlign w:val="center"/>
          </w:tcPr>
          <w:p>
            <w:pPr>
              <w:pStyle w:val="17"/>
              <w:rPr>
                <w:lang w:eastAsia="zh-CN"/>
              </w:rPr>
            </w:pPr>
            <w:r>
              <w:rPr>
                <w:rFonts w:hint="eastAsia"/>
                <w:lang w:eastAsia="zh-CN"/>
              </w:rPr>
              <w:t>462.74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rPr>
                <w:lang w:eastAsia="zh-CN"/>
              </w:rPr>
            </w:pPr>
            <w:r>
              <w:rPr>
                <w:rFonts w:hint="eastAsia"/>
                <w:lang w:eastAsia="zh-CN"/>
              </w:rPr>
              <w:t>120.36</w:t>
            </w:r>
          </w:p>
        </w:tc>
        <w:tc>
          <w:tcPr>
            <w:tcW w:w="964" w:type="dxa"/>
            <w:vAlign w:val="center"/>
          </w:tcPr>
          <w:p>
            <w:pPr>
              <w:pStyle w:val="17"/>
            </w:pPr>
          </w:p>
        </w:tc>
        <w:tc>
          <w:tcPr>
            <w:tcW w:w="964" w:type="dxa"/>
            <w:vAlign w:val="center"/>
          </w:tcPr>
          <w:p>
            <w:pPr>
              <w:pStyle w:val="17"/>
              <w:rPr>
                <w:lang w:eastAsia="zh-CN"/>
              </w:rPr>
            </w:pPr>
            <w:r>
              <w:rPr>
                <w:rFonts w:hint="eastAsia"/>
                <w:lang w:eastAsia="zh-CN"/>
              </w:rPr>
              <w:t>462.74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6"/>
              <w:rPr>
                <w:b w:val="0"/>
                <w:sz w:val="18"/>
                <w:szCs w:val="18"/>
              </w:rPr>
            </w:pPr>
            <w:r>
              <w:rPr>
                <w:rFonts w:hint="eastAsia"/>
                <w:sz w:val="18"/>
                <w:szCs w:val="18"/>
              </w:rPr>
              <w:t>中国共产党廊坊市纪律检查委员会本级小计</w:t>
            </w:r>
          </w:p>
        </w:tc>
        <w:tc>
          <w:tcPr>
            <w:tcW w:w="766" w:type="dxa"/>
            <w:vAlign w:val="center"/>
          </w:tcPr>
          <w:p>
            <w:pPr>
              <w:pStyle w:val="17"/>
              <w:spacing w:line="584" w:lineRule="exact"/>
              <w:rPr>
                <w:sz w:val="18"/>
                <w:szCs w:val="18"/>
              </w:rPr>
            </w:pPr>
          </w:p>
        </w:tc>
        <w:tc>
          <w:tcPr>
            <w:tcW w:w="1134" w:type="dxa"/>
            <w:vAlign w:val="center"/>
          </w:tcPr>
          <w:p>
            <w:pPr>
              <w:pStyle w:val="18"/>
              <w:spacing w:line="584" w:lineRule="exact"/>
              <w:rPr>
                <w:sz w:val="18"/>
                <w:szCs w:val="18"/>
              </w:rPr>
            </w:pPr>
          </w:p>
        </w:tc>
        <w:tc>
          <w:tcPr>
            <w:tcW w:w="1134" w:type="dxa"/>
            <w:vAlign w:val="center"/>
          </w:tcPr>
          <w:p>
            <w:pPr>
              <w:pStyle w:val="18"/>
              <w:spacing w:line="584" w:lineRule="exact"/>
              <w:rPr>
                <w:sz w:val="18"/>
                <w:szCs w:val="18"/>
              </w:rPr>
            </w:pPr>
          </w:p>
        </w:tc>
        <w:tc>
          <w:tcPr>
            <w:tcW w:w="709" w:type="dxa"/>
            <w:vAlign w:val="center"/>
          </w:tcPr>
          <w:p>
            <w:pPr>
              <w:pStyle w:val="16"/>
              <w:spacing w:line="584" w:lineRule="exact"/>
              <w:rPr>
                <w:sz w:val="18"/>
                <w:szCs w:val="18"/>
              </w:rPr>
            </w:pPr>
          </w:p>
        </w:tc>
        <w:tc>
          <w:tcPr>
            <w:tcW w:w="850" w:type="dxa"/>
            <w:vAlign w:val="center"/>
          </w:tcPr>
          <w:p>
            <w:pPr>
              <w:pStyle w:val="17"/>
              <w:spacing w:line="584" w:lineRule="exact"/>
              <w:rPr>
                <w:sz w:val="18"/>
                <w:szCs w:val="18"/>
              </w:rPr>
            </w:pPr>
          </w:p>
        </w:tc>
        <w:tc>
          <w:tcPr>
            <w:tcW w:w="850" w:type="dxa"/>
            <w:vAlign w:val="center"/>
          </w:tcPr>
          <w:p>
            <w:pPr>
              <w:pStyle w:val="17"/>
              <w:spacing w:line="584" w:lineRule="exact"/>
              <w:rPr>
                <w:sz w:val="18"/>
                <w:szCs w:val="18"/>
              </w:rPr>
            </w:pPr>
          </w:p>
        </w:tc>
        <w:tc>
          <w:tcPr>
            <w:tcW w:w="964" w:type="dxa"/>
            <w:vAlign w:val="center"/>
          </w:tcPr>
          <w:p>
            <w:pPr>
              <w:pStyle w:val="17"/>
              <w:spacing w:line="584" w:lineRule="exact"/>
              <w:rPr>
                <w:sz w:val="18"/>
                <w:szCs w:val="18"/>
                <w:lang w:eastAsia="zh-CN"/>
              </w:rPr>
            </w:pPr>
            <w:r>
              <w:rPr>
                <w:rFonts w:hint="eastAsia"/>
                <w:sz w:val="18"/>
                <w:szCs w:val="18"/>
                <w:lang w:eastAsia="zh-CN"/>
              </w:rPr>
              <w:t>357.14</w:t>
            </w:r>
          </w:p>
        </w:tc>
        <w:tc>
          <w:tcPr>
            <w:tcW w:w="964" w:type="dxa"/>
            <w:vAlign w:val="center"/>
          </w:tcPr>
          <w:p>
            <w:pPr>
              <w:pStyle w:val="17"/>
              <w:spacing w:line="584" w:lineRule="exact"/>
              <w:rPr>
                <w:sz w:val="18"/>
                <w:szCs w:val="18"/>
                <w:lang w:eastAsia="zh-CN"/>
              </w:rPr>
            </w:pPr>
            <w:r>
              <w:rPr>
                <w:rFonts w:hint="eastAsia"/>
                <w:sz w:val="18"/>
                <w:szCs w:val="18"/>
                <w:lang w:eastAsia="zh-CN"/>
              </w:rPr>
              <w:t>357.14</w:t>
            </w: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rPr>
            </w:pPr>
          </w:p>
        </w:tc>
        <w:tc>
          <w:tcPr>
            <w:tcW w:w="964" w:type="dxa"/>
            <w:vAlign w:val="center"/>
          </w:tcPr>
          <w:p>
            <w:pPr>
              <w:pStyle w:val="17"/>
              <w:spacing w:line="584" w:lineRule="exact"/>
              <w:rPr>
                <w:sz w:val="18"/>
                <w:szCs w:val="18"/>
                <w:lang w:eastAsia="zh-CN"/>
              </w:rPr>
            </w:pPr>
            <w:r>
              <w:rPr>
                <w:rFonts w:hint="eastAsia"/>
                <w:sz w:val="18"/>
                <w:szCs w:val="18"/>
                <w:lang w:eastAsia="zh-CN"/>
              </w:rPr>
              <w:t>357.14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机关工作经费</w:t>
            </w:r>
          </w:p>
        </w:tc>
        <w:tc>
          <w:tcPr>
            <w:tcW w:w="766" w:type="dxa"/>
            <w:vAlign w:val="center"/>
          </w:tcPr>
          <w:p>
            <w:pPr>
              <w:pStyle w:val="17"/>
              <w:spacing w:line="584" w:lineRule="exact"/>
              <w:jc w:val="center"/>
              <w:rPr>
                <w:b w:val="0"/>
                <w:sz w:val="18"/>
                <w:szCs w:val="18"/>
                <w:lang w:eastAsia="zh-CN"/>
              </w:rPr>
            </w:pPr>
            <w:r>
              <w:rPr>
                <w:rFonts w:hint="eastAsia"/>
                <w:b w:val="0"/>
                <w:sz w:val="18"/>
                <w:szCs w:val="18"/>
                <w:lang w:eastAsia="zh-CN"/>
              </w:rPr>
              <w:t>222.3</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其他印刷服务</w:t>
            </w:r>
          </w:p>
        </w:tc>
        <w:tc>
          <w:tcPr>
            <w:tcW w:w="1134" w:type="dxa"/>
            <w:vAlign w:val="center"/>
          </w:tcPr>
          <w:p>
            <w:pPr>
              <w:pStyle w:val="18"/>
              <w:spacing w:line="584" w:lineRule="exact"/>
              <w:jc w:val="center"/>
              <w:rPr>
                <w:b w:val="0"/>
                <w:sz w:val="18"/>
                <w:szCs w:val="18"/>
                <w:lang w:eastAsia="zh-CN"/>
              </w:rPr>
            </w:pPr>
            <w:r>
              <w:rPr>
                <w:rFonts w:hint="eastAsia"/>
                <w:b w:val="0"/>
                <w:sz w:val="18"/>
                <w:szCs w:val="18"/>
                <w:lang w:eastAsia="zh-CN"/>
              </w:rPr>
              <w:t>C08140199</w:t>
            </w:r>
          </w:p>
        </w:tc>
        <w:tc>
          <w:tcPr>
            <w:tcW w:w="709"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7"/>
              <w:spacing w:line="584" w:lineRule="exact"/>
              <w:jc w:val="center"/>
              <w:rPr>
                <w:b w:val="0"/>
                <w:sz w:val="18"/>
                <w:szCs w:val="18"/>
                <w:lang w:eastAsia="zh-CN"/>
              </w:rPr>
            </w:pPr>
            <w:r>
              <w:rPr>
                <w:rFonts w:hint="eastAsia"/>
                <w:b w:val="0"/>
                <w:sz w:val="18"/>
                <w:szCs w:val="18"/>
                <w:lang w:eastAsia="zh-CN"/>
              </w:rPr>
              <w:t>1</w:t>
            </w:r>
          </w:p>
        </w:tc>
        <w:tc>
          <w:tcPr>
            <w:tcW w:w="850" w:type="dxa"/>
            <w:vAlign w:val="center"/>
          </w:tcPr>
          <w:p>
            <w:pPr>
              <w:pStyle w:val="17"/>
              <w:spacing w:line="584" w:lineRule="exact"/>
              <w:rPr>
                <w:b w:val="0"/>
                <w:sz w:val="18"/>
                <w:szCs w:val="18"/>
                <w:lang w:eastAsia="zh-CN"/>
              </w:rPr>
            </w:pPr>
            <w:r>
              <w:rPr>
                <w:rFonts w:hint="eastAsia"/>
                <w:b w:val="0"/>
                <w:sz w:val="18"/>
                <w:szCs w:val="18"/>
                <w:lang w:eastAsia="zh-CN"/>
              </w:rPr>
              <w:t>50</w:t>
            </w:r>
          </w:p>
        </w:tc>
        <w:tc>
          <w:tcPr>
            <w:tcW w:w="964" w:type="dxa"/>
            <w:vAlign w:val="center"/>
          </w:tcPr>
          <w:p>
            <w:pPr>
              <w:pStyle w:val="17"/>
              <w:spacing w:line="584" w:lineRule="exact"/>
              <w:rPr>
                <w:b w:val="0"/>
                <w:sz w:val="18"/>
                <w:szCs w:val="18"/>
                <w:lang w:eastAsia="zh-CN"/>
              </w:rPr>
            </w:pPr>
            <w:r>
              <w:rPr>
                <w:rFonts w:hint="eastAsia"/>
                <w:b w:val="0"/>
                <w:sz w:val="18"/>
                <w:szCs w:val="18"/>
                <w:lang w:eastAsia="zh-CN"/>
              </w:rPr>
              <w:t>50</w:t>
            </w:r>
          </w:p>
        </w:tc>
        <w:tc>
          <w:tcPr>
            <w:tcW w:w="964" w:type="dxa"/>
            <w:vAlign w:val="center"/>
          </w:tcPr>
          <w:p>
            <w:pPr>
              <w:pStyle w:val="17"/>
              <w:spacing w:line="584" w:lineRule="exact"/>
              <w:rPr>
                <w:b w:val="0"/>
                <w:sz w:val="18"/>
                <w:szCs w:val="18"/>
                <w:lang w:eastAsia="zh-CN"/>
              </w:rPr>
            </w:pPr>
            <w:r>
              <w:rPr>
                <w:rFonts w:hint="eastAsia"/>
                <w:b w:val="0"/>
                <w:sz w:val="18"/>
                <w:szCs w:val="18"/>
                <w:lang w:eastAsia="zh-CN"/>
              </w:rPr>
              <w:t>50</w:t>
            </w: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rPr>
            </w:pPr>
          </w:p>
        </w:tc>
        <w:tc>
          <w:tcPr>
            <w:tcW w:w="964" w:type="dxa"/>
            <w:vAlign w:val="center"/>
          </w:tcPr>
          <w:p>
            <w:pPr>
              <w:pStyle w:val="17"/>
              <w:spacing w:line="584" w:lineRule="exact"/>
              <w:rPr>
                <w:b w:val="0"/>
                <w:sz w:val="18"/>
                <w:szCs w:val="18"/>
                <w:lang w:eastAsia="zh-CN"/>
              </w:rPr>
            </w:pPr>
            <w:r>
              <w:rPr>
                <w:rFonts w:hint="eastAsia"/>
                <w:b w:val="0"/>
                <w:sz w:val="18"/>
                <w:szCs w:val="18"/>
                <w:lang w:eastAsia="zh-CN"/>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机关工作经费</w:t>
            </w:r>
          </w:p>
        </w:tc>
        <w:tc>
          <w:tcPr>
            <w:tcW w:w="766" w:type="dxa"/>
            <w:vAlign w:val="center"/>
          </w:tcPr>
          <w:p>
            <w:pPr>
              <w:pStyle w:val="13"/>
              <w:spacing w:line="584" w:lineRule="exact"/>
              <w:jc w:val="center"/>
              <w:rPr>
                <w:sz w:val="18"/>
                <w:szCs w:val="18"/>
                <w:lang w:eastAsia="zh-CN"/>
              </w:rPr>
            </w:pPr>
            <w:r>
              <w:rPr>
                <w:rFonts w:hint="eastAsia"/>
                <w:sz w:val="18"/>
                <w:szCs w:val="18"/>
                <w:lang w:eastAsia="zh-CN"/>
              </w:rPr>
              <w:t>222.3</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物业管理服务</w:t>
            </w:r>
          </w:p>
        </w:tc>
        <w:tc>
          <w:tcPr>
            <w:tcW w:w="1134" w:type="dxa"/>
            <w:vAlign w:val="center"/>
          </w:tcPr>
          <w:p>
            <w:pPr>
              <w:pStyle w:val="18"/>
              <w:spacing w:line="584" w:lineRule="exact"/>
              <w:jc w:val="center"/>
              <w:rPr>
                <w:b w:val="0"/>
                <w:sz w:val="18"/>
                <w:szCs w:val="18"/>
                <w:lang w:eastAsia="zh-CN"/>
              </w:rPr>
            </w:pPr>
            <w:r>
              <w:rPr>
                <w:rFonts w:hint="eastAsia"/>
                <w:b w:val="0"/>
                <w:sz w:val="18"/>
                <w:szCs w:val="18"/>
                <w:lang w:eastAsia="zh-CN"/>
              </w:rPr>
              <w:t>C1204</w:t>
            </w:r>
          </w:p>
        </w:tc>
        <w:tc>
          <w:tcPr>
            <w:tcW w:w="709"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3"/>
              <w:spacing w:line="584" w:lineRule="exact"/>
              <w:jc w:val="center"/>
              <w:rPr>
                <w:sz w:val="18"/>
                <w:szCs w:val="18"/>
                <w:lang w:eastAsia="zh-CN"/>
              </w:rPr>
            </w:pPr>
            <w:r>
              <w:rPr>
                <w:rFonts w:hint="eastAsia"/>
                <w:sz w:val="18"/>
                <w:szCs w:val="18"/>
                <w:lang w:eastAsia="zh-CN"/>
              </w:rPr>
              <w:t>1</w:t>
            </w:r>
          </w:p>
        </w:tc>
        <w:tc>
          <w:tcPr>
            <w:tcW w:w="850" w:type="dxa"/>
            <w:vAlign w:val="center"/>
          </w:tcPr>
          <w:p>
            <w:pPr>
              <w:pStyle w:val="13"/>
              <w:spacing w:line="584" w:lineRule="exact"/>
              <w:rPr>
                <w:sz w:val="18"/>
                <w:szCs w:val="18"/>
                <w:lang w:eastAsia="zh-CN"/>
              </w:rPr>
            </w:pPr>
            <w:r>
              <w:rPr>
                <w:rFonts w:hint="eastAsia"/>
                <w:sz w:val="18"/>
                <w:szCs w:val="18"/>
                <w:lang w:eastAsia="zh-CN"/>
              </w:rPr>
              <w:t>85.30</w:t>
            </w:r>
          </w:p>
        </w:tc>
        <w:tc>
          <w:tcPr>
            <w:tcW w:w="964" w:type="dxa"/>
            <w:vAlign w:val="center"/>
          </w:tcPr>
          <w:p>
            <w:pPr>
              <w:pStyle w:val="13"/>
              <w:spacing w:line="584" w:lineRule="exact"/>
              <w:rPr>
                <w:sz w:val="18"/>
                <w:szCs w:val="18"/>
                <w:lang w:eastAsia="zh-CN"/>
              </w:rPr>
            </w:pPr>
            <w:r>
              <w:rPr>
                <w:rFonts w:hint="eastAsia"/>
                <w:sz w:val="18"/>
                <w:szCs w:val="18"/>
                <w:lang w:eastAsia="zh-CN"/>
              </w:rPr>
              <w:t>85.30</w:t>
            </w:r>
          </w:p>
        </w:tc>
        <w:tc>
          <w:tcPr>
            <w:tcW w:w="964" w:type="dxa"/>
            <w:vAlign w:val="center"/>
          </w:tcPr>
          <w:p>
            <w:pPr>
              <w:pStyle w:val="13"/>
              <w:spacing w:line="584" w:lineRule="exact"/>
              <w:rPr>
                <w:sz w:val="18"/>
                <w:szCs w:val="18"/>
                <w:lang w:eastAsia="zh-CN"/>
              </w:rPr>
            </w:pPr>
            <w:r>
              <w:rPr>
                <w:rFonts w:hint="eastAsia"/>
                <w:sz w:val="18"/>
                <w:szCs w:val="18"/>
                <w:lang w:eastAsia="zh-CN"/>
              </w:rPr>
              <w:t>85.30</w:t>
            </w: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lang w:eastAsia="zh-CN"/>
              </w:rPr>
            </w:pPr>
            <w:r>
              <w:rPr>
                <w:rFonts w:hint="eastAsia"/>
                <w:sz w:val="18"/>
                <w:szCs w:val="18"/>
                <w:lang w:eastAsia="zh-CN"/>
              </w:rPr>
              <w:t>85.30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纪检监察信息化运行维护专项经费</w:t>
            </w:r>
          </w:p>
        </w:tc>
        <w:tc>
          <w:tcPr>
            <w:tcW w:w="766" w:type="dxa"/>
            <w:vAlign w:val="center"/>
          </w:tcPr>
          <w:p>
            <w:pPr>
              <w:pStyle w:val="13"/>
              <w:spacing w:line="584" w:lineRule="exact"/>
              <w:jc w:val="center"/>
              <w:rPr>
                <w:sz w:val="18"/>
                <w:szCs w:val="18"/>
                <w:lang w:eastAsia="zh-CN"/>
              </w:rPr>
            </w:pPr>
            <w:r>
              <w:rPr>
                <w:rFonts w:hint="eastAsia"/>
                <w:sz w:val="18"/>
                <w:szCs w:val="18"/>
                <w:lang w:eastAsia="zh-CN"/>
              </w:rPr>
              <w:t>150</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其他运行维护服务</w:t>
            </w:r>
          </w:p>
        </w:tc>
        <w:tc>
          <w:tcPr>
            <w:tcW w:w="1134" w:type="dxa"/>
            <w:vAlign w:val="center"/>
          </w:tcPr>
          <w:p>
            <w:pPr>
              <w:pStyle w:val="18"/>
              <w:spacing w:line="584" w:lineRule="exact"/>
              <w:jc w:val="center"/>
              <w:rPr>
                <w:b w:val="0"/>
                <w:sz w:val="18"/>
                <w:szCs w:val="18"/>
                <w:lang w:eastAsia="zh-CN"/>
              </w:rPr>
            </w:pPr>
            <w:r>
              <w:rPr>
                <w:rFonts w:hint="eastAsia"/>
                <w:b w:val="0"/>
                <w:sz w:val="18"/>
                <w:szCs w:val="18"/>
                <w:lang w:eastAsia="zh-CN"/>
              </w:rPr>
              <w:t>C020699</w:t>
            </w:r>
          </w:p>
        </w:tc>
        <w:tc>
          <w:tcPr>
            <w:tcW w:w="709"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3"/>
              <w:spacing w:line="584" w:lineRule="exact"/>
              <w:jc w:val="center"/>
              <w:rPr>
                <w:sz w:val="18"/>
                <w:szCs w:val="18"/>
                <w:lang w:eastAsia="zh-CN"/>
              </w:rPr>
            </w:pPr>
            <w:r>
              <w:rPr>
                <w:rFonts w:hint="eastAsia"/>
                <w:sz w:val="18"/>
                <w:szCs w:val="18"/>
                <w:lang w:eastAsia="zh-CN"/>
              </w:rPr>
              <w:t>1</w:t>
            </w:r>
          </w:p>
        </w:tc>
        <w:tc>
          <w:tcPr>
            <w:tcW w:w="850" w:type="dxa"/>
            <w:vAlign w:val="center"/>
          </w:tcPr>
          <w:p>
            <w:pPr>
              <w:pStyle w:val="13"/>
              <w:spacing w:line="584" w:lineRule="exact"/>
              <w:rPr>
                <w:sz w:val="18"/>
                <w:szCs w:val="18"/>
                <w:lang w:eastAsia="zh-CN"/>
              </w:rPr>
            </w:pPr>
            <w:r>
              <w:rPr>
                <w:rFonts w:hint="eastAsia"/>
                <w:sz w:val="18"/>
                <w:szCs w:val="18"/>
                <w:lang w:eastAsia="zh-CN"/>
              </w:rPr>
              <w:t>108.84</w:t>
            </w:r>
          </w:p>
        </w:tc>
        <w:tc>
          <w:tcPr>
            <w:tcW w:w="964" w:type="dxa"/>
            <w:vAlign w:val="center"/>
          </w:tcPr>
          <w:p>
            <w:pPr>
              <w:pStyle w:val="13"/>
              <w:spacing w:line="584" w:lineRule="exact"/>
              <w:rPr>
                <w:sz w:val="18"/>
                <w:szCs w:val="18"/>
                <w:lang w:eastAsia="zh-CN"/>
              </w:rPr>
            </w:pPr>
            <w:r>
              <w:rPr>
                <w:rFonts w:hint="eastAsia"/>
                <w:sz w:val="18"/>
                <w:szCs w:val="18"/>
                <w:lang w:eastAsia="zh-CN"/>
              </w:rPr>
              <w:t>108.84</w:t>
            </w:r>
          </w:p>
        </w:tc>
        <w:tc>
          <w:tcPr>
            <w:tcW w:w="964" w:type="dxa"/>
            <w:vAlign w:val="center"/>
          </w:tcPr>
          <w:p>
            <w:pPr>
              <w:pStyle w:val="13"/>
              <w:spacing w:line="584" w:lineRule="exact"/>
              <w:rPr>
                <w:sz w:val="18"/>
                <w:szCs w:val="18"/>
                <w:lang w:eastAsia="zh-CN"/>
              </w:rPr>
            </w:pPr>
            <w:r>
              <w:rPr>
                <w:rFonts w:hint="eastAsia"/>
                <w:sz w:val="18"/>
                <w:szCs w:val="18"/>
                <w:lang w:eastAsia="zh-CN"/>
              </w:rPr>
              <w:t>108.84</w:t>
            </w: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lang w:eastAsia="zh-CN"/>
              </w:rPr>
            </w:pPr>
            <w:r>
              <w:rPr>
                <w:rFonts w:hint="eastAsia"/>
                <w:sz w:val="18"/>
                <w:szCs w:val="18"/>
                <w:lang w:eastAsia="zh-CN"/>
              </w:rPr>
              <w:t>108.84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内网设备购置及电子数据恢复取证系统建设经费</w:t>
            </w:r>
          </w:p>
        </w:tc>
        <w:tc>
          <w:tcPr>
            <w:tcW w:w="766" w:type="dxa"/>
            <w:vAlign w:val="center"/>
          </w:tcPr>
          <w:p>
            <w:pPr>
              <w:pStyle w:val="13"/>
              <w:spacing w:line="584" w:lineRule="exact"/>
              <w:jc w:val="center"/>
              <w:rPr>
                <w:sz w:val="18"/>
                <w:szCs w:val="18"/>
                <w:lang w:eastAsia="zh-CN"/>
              </w:rPr>
            </w:pPr>
            <w:r>
              <w:rPr>
                <w:rFonts w:hint="eastAsia"/>
                <w:sz w:val="18"/>
                <w:szCs w:val="18"/>
                <w:lang w:eastAsia="zh-CN"/>
              </w:rPr>
              <w:t>113</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其他办公设备</w:t>
            </w:r>
          </w:p>
        </w:tc>
        <w:tc>
          <w:tcPr>
            <w:tcW w:w="1134" w:type="dxa"/>
            <w:vAlign w:val="center"/>
          </w:tcPr>
          <w:p>
            <w:pPr>
              <w:pStyle w:val="14"/>
              <w:spacing w:line="584" w:lineRule="exact"/>
              <w:jc w:val="center"/>
              <w:rPr>
                <w:sz w:val="18"/>
                <w:szCs w:val="18"/>
                <w:lang w:eastAsia="zh-CN"/>
              </w:rPr>
            </w:pPr>
            <w:r>
              <w:rPr>
                <w:rFonts w:hint="eastAsia"/>
                <w:sz w:val="18"/>
                <w:szCs w:val="18"/>
                <w:lang w:eastAsia="zh-CN"/>
              </w:rPr>
              <w:t>A020299</w:t>
            </w:r>
          </w:p>
        </w:tc>
        <w:tc>
          <w:tcPr>
            <w:tcW w:w="709"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3"/>
              <w:spacing w:line="584" w:lineRule="exact"/>
              <w:jc w:val="center"/>
              <w:rPr>
                <w:sz w:val="18"/>
                <w:szCs w:val="18"/>
                <w:lang w:eastAsia="zh-CN"/>
              </w:rPr>
            </w:pPr>
            <w:r>
              <w:rPr>
                <w:rFonts w:hint="eastAsia"/>
                <w:sz w:val="18"/>
                <w:szCs w:val="18"/>
                <w:lang w:eastAsia="zh-CN"/>
              </w:rPr>
              <w:t>1</w:t>
            </w:r>
          </w:p>
        </w:tc>
        <w:tc>
          <w:tcPr>
            <w:tcW w:w="850" w:type="dxa"/>
            <w:vAlign w:val="center"/>
          </w:tcPr>
          <w:p>
            <w:pPr>
              <w:pStyle w:val="13"/>
              <w:spacing w:line="584" w:lineRule="exact"/>
              <w:rPr>
                <w:sz w:val="18"/>
                <w:szCs w:val="18"/>
                <w:lang w:eastAsia="zh-CN"/>
              </w:rPr>
            </w:pPr>
            <w:r>
              <w:rPr>
                <w:rFonts w:hint="eastAsia"/>
                <w:sz w:val="18"/>
                <w:szCs w:val="18"/>
                <w:lang w:eastAsia="zh-CN"/>
              </w:rPr>
              <w:t>85</w:t>
            </w:r>
          </w:p>
        </w:tc>
        <w:tc>
          <w:tcPr>
            <w:tcW w:w="964" w:type="dxa"/>
            <w:vAlign w:val="center"/>
          </w:tcPr>
          <w:p>
            <w:pPr>
              <w:pStyle w:val="13"/>
              <w:spacing w:line="584" w:lineRule="exact"/>
              <w:rPr>
                <w:sz w:val="18"/>
                <w:szCs w:val="18"/>
                <w:lang w:eastAsia="zh-CN"/>
              </w:rPr>
            </w:pPr>
            <w:r>
              <w:rPr>
                <w:rFonts w:hint="eastAsia"/>
                <w:sz w:val="18"/>
                <w:szCs w:val="18"/>
                <w:lang w:eastAsia="zh-CN"/>
              </w:rPr>
              <w:t>85</w:t>
            </w:r>
          </w:p>
        </w:tc>
        <w:tc>
          <w:tcPr>
            <w:tcW w:w="964" w:type="dxa"/>
            <w:vAlign w:val="center"/>
          </w:tcPr>
          <w:p>
            <w:pPr>
              <w:pStyle w:val="13"/>
              <w:spacing w:line="584" w:lineRule="exact"/>
              <w:rPr>
                <w:sz w:val="18"/>
                <w:szCs w:val="18"/>
                <w:lang w:eastAsia="zh-CN"/>
              </w:rPr>
            </w:pPr>
            <w:r>
              <w:rPr>
                <w:rFonts w:hint="eastAsia"/>
                <w:sz w:val="18"/>
                <w:szCs w:val="18"/>
                <w:lang w:eastAsia="zh-CN"/>
              </w:rPr>
              <w:t>85</w:t>
            </w: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lang w:eastAsia="zh-CN"/>
              </w:rPr>
            </w:pPr>
            <w:r>
              <w:rPr>
                <w:rFonts w:hint="eastAsia"/>
                <w:sz w:val="18"/>
                <w:szCs w:val="18"/>
                <w:lang w:eastAsia="zh-C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内网设备购置及电子数据恢复取证系统建设经费</w:t>
            </w:r>
          </w:p>
        </w:tc>
        <w:tc>
          <w:tcPr>
            <w:tcW w:w="766" w:type="dxa"/>
            <w:vAlign w:val="center"/>
          </w:tcPr>
          <w:p>
            <w:pPr>
              <w:pStyle w:val="13"/>
              <w:spacing w:line="584" w:lineRule="exact"/>
              <w:jc w:val="center"/>
              <w:rPr>
                <w:sz w:val="18"/>
                <w:szCs w:val="18"/>
                <w:lang w:eastAsia="zh-CN"/>
              </w:rPr>
            </w:pPr>
            <w:r>
              <w:rPr>
                <w:rFonts w:hint="eastAsia"/>
                <w:sz w:val="18"/>
                <w:szCs w:val="18"/>
                <w:lang w:eastAsia="zh-CN"/>
              </w:rPr>
              <w:t>113</w:t>
            </w:r>
          </w:p>
        </w:tc>
        <w:tc>
          <w:tcPr>
            <w:tcW w:w="1134" w:type="dxa"/>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其他办公设备</w:t>
            </w:r>
          </w:p>
        </w:tc>
        <w:tc>
          <w:tcPr>
            <w:tcW w:w="1134" w:type="dxa"/>
            <w:vAlign w:val="center"/>
          </w:tcPr>
          <w:p>
            <w:pPr>
              <w:pStyle w:val="14"/>
              <w:spacing w:line="584" w:lineRule="exact"/>
              <w:jc w:val="center"/>
              <w:rPr>
                <w:sz w:val="18"/>
                <w:szCs w:val="18"/>
              </w:rPr>
            </w:pPr>
            <w:r>
              <w:rPr>
                <w:rFonts w:hint="eastAsia"/>
                <w:sz w:val="18"/>
                <w:szCs w:val="18"/>
                <w:lang w:eastAsia="zh-CN"/>
              </w:rPr>
              <w:t>A020299</w:t>
            </w:r>
          </w:p>
        </w:tc>
        <w:tc>
          <w:tcPr>
            <w:tcW w:w="709" w:type="dxa"/>
            <w:vAlign w:val="center"/>
          </w:tcPr>
          <w:p>
            <w:pPr>
              <w:pStyle w:val="16"/>
              <w:spacing w:line="584" w:lineRule="exact"/>
              <w:rPr>
                <w:b w:val="0"/>
                <w:sz w:val="18"/>
                <w:szCs w:val="18"/>
                <w:lang w:eastAsia="zh-CN"/>
              </w:rPr>
            </w:pPr>
            <w:r>
              <w:rPr>
                <w:rFonts w:hint="eastAsia"/>
                <w:b w:val="0"/>
                <w:sz w:val="18"/>
                <w:szCs w:val="18"/>
                <w:lang w:eastAsia="zh-CN"/>
              </w:rPr>
              <w:t>项</w:t>
            </w:r>
          </w:p>
        </w:tc>
        <w:tc>
          <w:tcPr>
            <w:tcW w:w="850" w:type="dxa"/>
            <w:vAlign w:val="center"/>
          </w:tcPr>
          <w:p>
            <w:pPr>
              <w:pStyle w:val="13"/>
              <w:spacing w:line="584" w:lineRule="exact"/>
              <w:jc w:val="center"/>
              <w:rPr>
                <w:sz w:val="18"/>
                <w:szCs w:val="18"/>
                <w:lang w:eastAsia="zh-CN"/>
              </w:rPr>
            </w:pPr>
            <w:r>
              <w:rPr>
                <w:rFonts w:hint="eastAsia"/>
                <w:sz w:val="18"/>
                <w:szCs w:val="18"/>
                <w:lang w:eastAsia="zh-CN"/>
              </w:rPr>
              <w:t>1</w:t>
            </w:r>
          </w:p>
        </w:tc>
        <w:tc>
          <w:tcPr>
            <w:tcW w:w="850" w:type="dxa"/>
            <w:vAlign w:val="center"/>
          </w:tcPr>
          <w:p>
            <w:pPr>
              <w:pStyle w:val="13"/>
              <w:spacing w:line="584" w:lineRule="exact"/>
              <w:rPr>
                <w:sz w:val="18"/>
                <w:szCs w:val="18"/>
                <w:lang w:eastAsia="zh-CN"/>
              </w:rPr>
            </w:pPr>
            <w:r>
              <w:rPr>
                <w:rFonts w:hint="eastAsia"/>
                <w:sz w:val="18"/>
                <w:szCs w:val="18"/>
                <w:lang w:eastAsia="zh-CN"/>
              </w:rPr>
              <w:t>28</w:t>
            </w:r>
          </w:p>
        </w:tc>
        <w:tc>
          <w:tcPr>
            <w:tcW w:w="964" w:type="dxa"/>
            <w:vAlign w:val="center"/>
          </w:tcPr>
          <w:p>
            <w:pPr>
              <w:pStyle w:val="13"/>
              <w:spacing w:line="584" w:lineRule="exact"/>
              <w:rPr>
                <w:sz w:val="18"/>
                <w:szCs w:val="18"/>
                <w:lang w:eastAsia="zh-CN"/>
              </w:rPr>
            </w:pPr>
            <w:r>
              <w:rPr>
                <w:rFonts w:hint="eastAsia"/>
                <w:sz w:val="18"/>
                <w:szCs w:val="18"/>
                <w:lang w:eastAsia="zh-CN"/>
              </w:rPr>
              <w:t>28</w:t>
            </w:r>
          </w:p>
        </w:tc>
        <w:tc>
          <w:tcPr>
            <w:tcW w:w="964" w:type="dxa"/>
            <w:vAlign w:val="center"/>
          </w:tcPr>
          <w:p>
            <w:pPr>
              <w:pStyle w:val="13"/>
              <w:spacing w:line="584" w:lineRule="exact"/>
              <w:rPr>
                <w:sz w:val="18"/>
                <w:szCs w:val="18"/>
                <w:lang w:eastAsia="zh-CN"/>
              </w:rPr>
            </w:pPr>
            <w:r>
              <w:rPr>
                <w:rFonts w:hint="eastAsia"/>
                <w:sz w:val="18"/>
                <w:szCs w:val="18"/>
                <w:lang w:eastAsia="zh-CN"/>
              </w:rPr>
              <w:t>28</w:t>
            </w: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rPr>
            </w:pPr>
          </w:p>
        </w:tc>
        <w:tc>
          <w:tcPr>
            <w:tcW w:w="964" w:type="dxa"/>
            <w:vAlign w:val="center"/>
          </w:tcPr>
          <w:p>
            <w:pPr>
              <w:pStyle w:val="13"/>
              <w:spacing w:line="584" w:lineRule="exact"/>
              <w:rPr>
                <w:sz w:val="18"/>
                <w:szCs w:val="18"/>
                <w:lang w:eastAsia="zh-CN"/>
              </w:rPr>
            </w:pPr>
            <w:r>
              <w:rPr>
                <w:rFonts w:hint="eastAsia"/>
                <w:sz w:val="18"/>
                <w:szCs w:val="18"/>
                <w:lang w:eastAsia="zh-CN"/>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6"/>
              <w:rPr>
                <w:sz w:val="18"/>
                <w:szCs w:val="18"/>
                <w:lang w:eastAsia="zh-CN"/>
              </w:rPr>
            </w:pPr>
            <w:r>
              <w:rPr>
                <w:rFonts w:hint="eastAsia"/>
                <w:sz w:val="18"/>
                <w:szCs w:val="18"/>
                <w:lang w:eastAsia="zh-CN"/>
              </w:rPr>
              <w:t>廊坊市纪委旧州管理中心小计</w:t>
            </w:r>
          </w:p>
        </w:tc>
        <w:tc>
          <w:tcPr>
            <w:tcW w:w="766"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rPr>
                <w:sz w:val="18"/>
                <w:szCs w:val="18"/>
              </w:rPr>
            </w:pPr>
            <w:r>
              <w:rPr>
                <w:rFonts w:hint="eastAsia"/>
                <w:sz w:val="18"/>
                <w:szCs w:val="18"/>
              </w:rPr>
              <w:t>225.96</w:t>
            </w:r>
          </w:p>
        </w:tc>
        <w:tc>
          <w:tcPr>
            <w:tcW w:w="964" w:type="dxa"/>
            <w:vAlign w:val="center"/>
          </w:tcPr>
          <w:p>
            <w:pPr>
              <w:pStyle w:val="17"/>
              <w:rPr>
                <w:sz w:val="18"/>
                <w:szCs w:val="18"/>
              </w:rPr>
            </w:pPr>
            <w:r>
              <w:rPr>
                <w:rFonts w:hint="eastAsia"/>
                <w:sz w:val="18"/>
                <w:szCs w:val="18"/>
              </w:rPr>
              <w:t>105.60</w:t>
            </w:r>
          </w:p>
        </w:tc>
        <w:tc>
          <w:tcPr>
            <w:tcW w:w="964" w:type="dxa"/>
            <w:vAlign w:val="center"/>
          </w:tcPr>
          <w:p>
            <w:pPr>
              <w:pStyle w:val="17"/>
              <w:rPr>
                <w:sz w:val="18"/>
                <w:szCs w:val="18"/>
              </w:rPr>
            </w:pPr>
          </w:p>
        </w:tc>
        <w:tc>
          <w:tcPr>
            <w:tcW w:w="964" w:type="dxa"/>
            <w:vAlign w:val="center"/>
          </w:tcPr>
          <w:p>
            <w:pPr>
              <w:pStyle w:val="17"/>
              <w:rPr>
                <w:sz w:val="18"/>
                <w:szCs w:val="18"/>
              </w:rPr>
            </w:pPr>
          </w:p>
        </w:tc>
        <w:tc>
          <w:tcPr>
            <w:tcW w:w="964" w:type="dxa"/>
            <w:vAlign w:val="center"/>
          </w:tcPr>
          <w:p>
            <w:pPr>
              <w:pStyle w:val="17"/>
              <w:rPr>
                <w:sz w:val="18"/>
                <w:szCs w:val="18"/>
              </w:rPr>
            </w:pPr>
          </w:p>
        </w:tc>
        <w:tc>
          <w:tcPr>
            <w:tcW w:w="964" w:type="dxa"/>
            <w:vAlign w:val="center"/>
          </w:tcPr>
          <w:p>
            <w:pPr>
              <w:pStyle w:val="17"/>
              <w:rPr>
                <w:sz w:val="18"/>
                <w:szCs w:val="18"/>
              </w:rPr>
            </w:pPr>
          </w:p>
        </w:tc>
        <w:tc>
          <w:tcPr>
            <w:tcW w:w="964" w:type="dxa"/>
            <w:vAlign w:val="center"/>
          </w:tcPr>
          <w:p>
            <w:pPr>
              <w:pStyle w:val="17"/>
              <w:rPr>
                <w:sz w:val="18"/>
                <w:szCs w:val="18"/>
              </w:rPr>
            </w:pPr>
            <w:r>
              <w:rPr>
                <w:rFonts w:hint="eastAsia"/>
                <w:sz w:val="18"/>
                <w:szCs w:val="18"/>
              </w:rPr>
              <w:t>120.36</w:t>
            </w:r>
          </w:p>
        </w:tc>
        <w:tc>
          <w:tcPr>
            <w:tcW w:w="964" w:type="dxa"/>
            <w:vAlign w:val="center"/>
          </w:tcPr>
          <w:p>
            <w:pPr>
              <w:pStyle w:val="17"/>
              <w:rPr>
                <w:sz w:val="18"/>
                <w:szCs w:val="18"/>
              </w:rPr>
            </w:pPr>
          </w:p>
        </w:tc>
        <w:tc>
          <w:tcPr>
            <w:tcW w:w="964" w:type="dxa"/>
            <w:vAlign w:val="center"/>
          </w:tcPr>
          <w:p>
            <w:pPr>
              <w:pStyle w:val="17"/>
              <w:rPr>
                <w:sz w:val="18"/>
                <w:szCs w:val="18"/>
              </w:rPr>
            </w:pPr>
            <w:r>
              <w:rPr>
                <w:rFonts w:hint="eastAsia"/>
                <w:sz w:val="18"/>
                <w:szCs w:val="18"/>
              </w:rPr>
              <w:t>105.60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6"/>
              <w:rPr>
                <w:sz w:val="18"/>
                <w:szCs w:val="18"/>
              </w:rPr>
            </w:pPr>
            <w:r>
              <w:rPr>
                <w:rFonts w:hint="eastAsia"/>
                <w:b w:val="0"/>
                <w:sz w:val="18"/>
                <w:szCs w:val="18"/>
              </w:rPr>
              <w:t>中心工作经费</w:t>
            </w:r>
          </w:p>
        </w:tc>
        <w:tc>
          <w:tcPr>
            <w:tcW w:w="766" w:type="dxa"/>
            <w:vAlign w:val="center"/>
          </w:tcPr>
          <w:p>
            <w:pPr>
              <w:pStyle w:val="17"/>
              <w:rPr>
                <w:sz w:val="18"/>
                <w:szCs w:val="18"/>
              </w:rPr>
            </w:pPr>
            <w:r>
              <w:rPr>
                <w:rFonts w:hint="eastAsia"/>
                <w:b w:val="0"/>
                <w:sz w:val="18"/>
                <w:szCs w:val="18"/>
              </w:rPr>
              <w:t>683.55</w:t>
            </w:r>
          </w:p>
        </w:tc>
        <w:tc>
          <w:tcPr>
            <w:tcW w:w="1134" w:type="dxa"/>
            <w:vAlign w:val="center"/>
          </w:tcPr>
          <w:p>
            <w:pPr>
              <w:pStyle w:val="18"/>
              <w:rPr>
                <w:sz w:val="18"/>
                <w:szCs w:val="18"/>
              </w:rPr>
            </w:pPr>
            <w:r>
              <w:rPr>
                <w:rFonts w:hint="eastAsia"/>
                <w:b w:val="0"/>
                <w:sz w:val="18"/>
                <w:szCs w:val="18"/>
              </w:rPr>
              <w:t>复印机</w:t>
            </w:r>
          </w:p>
        </w:tc>
        <w:tc>
          <w:tcPr>
            <w:tcW w:w="1134" w:type="dxa"/>
            <w:vAlign w:val="center"/>
          </w:tcPr>
          <w:p>
            <w:pPr>
              <w:pStyle w:val="18"/>
              <w:rPr>
                <w:b w:val="0"/>
                <w:sz w:val="18"/>
                <w:szCs w:val="18"/>
              </w:rPr>
            </w:pPr>
            <w:r>
              <w:rPr>
                <w:rFonts w:hint="eastAsia"/>
                <w:b w:val="0"/>
                <w:sz w:val="18"/>
                <w:szCs w:val="18"/>
              </w:rPr>
              <w:t>A020201</w:t>
            </w:r>
          </w:p>
        </w:tc>
        <w:tc>
          <w:tcPr>
            <w:tcW w:w="709" w:type="dxa"/>
            <w:vAlign w:val="center"/>
          </w:tcPr>
          <w:p>
            <w:pPr>
              <w:pStyle w:val="16"/>
              <w:rPr>
                <w:b w:val="0"/>
                <w:sz w:val="18"/>
                <w:szCs w:val="18"/>
              </w:rPr>
            </w:pPr>
            <w:r>
              <w:rPr>
                <w:rFonts w:hint="eastAsia"/>
                <w:b w:val="0"/>
                <w:sz w:val="18"/>
                <w:szCs w:val="18"/>
              </w:rPr>
              <w:t>台</w:t>
            </w:r>
          </w:p>
        </w:tc>
        <w:tc>
          <w:tcPr>
            <w:tcW w:w="850" w:type="dxa"/>
            <w:vAlign w:val="center"/>
          </w:tcPr>
          <w:p>
            <w:pPr>
              <w:pStyle w:val="17"/>
              <w:rPr>
                <w:b w:val="0"/>
                <w:sz w:val="18"/>
                <w:szCs w:val="18"/>
              </w:rPr>
            </w:pPr>
            <w:r>
              <w:rPr>
                <w:rFonts w:hint="eastAsia"/>
                <w:b w:val="0"/>
                <w:sz w:val="18"/>
                <w:szCs w:val="18"/>
              </w:rPr>
              <w:t>2</w:t>
            </w:r>
          </w:p>
        </w:tc>
        <w:tc>
          <w:tcPr>
            <w:tcW w:w="850" w:type="dxa"/>
            <w:vAlign w:val="center"/>
          </w:tcPr>
          <w:p>
            <w:pPr>
              <w:pStyle w:val="17"/>
              <w:rPr>
                <w:b w:val="0"/>
                <w:sz w:val="18"/>
                <w:szCs w:val="18"/>
              </w:rPr>
            </w:pPr>
            <w:r>
              <w:rPr>
                <w:rFonts w:hint="eastAsia"/>
                <w:b w:val="0"/>
                <w:sz w:val="18"/>
                <w:szCs w:val="18"/>
              </w:rPr>
              <w:t>0.30</w:t>
            </w:r>
          </w:p>
        </w:tc>
        <w:tc>
          <w:tcPr>
            <w:tcW w:w="964" w:type="dxa"/>
            <w:vAlign w:val="center"/>
          </w:tcPr>
          <w:p>
            <w:pPr>
              <w:pStyle w:val="17"/>
              <w:rPr>
                <w:b w:val="0"/>
                <w:sz w:val="18"/>
                <w:szCs w:val="18"/>
              </w:rPr>
            </w:pPr>
            <w:r>
              <w:rPr>
                <w:rFonts w:hint="eastAsia"/>
                <w:b w:val="0"/>
                <w:sz w:val="18"/>
                <w:szCs w:val="18"/>
              </w:rPr>
              <w:t>0.60</w:t>
            </w:r>
          </w:p>
        </w:tc>
        <w:tc>
          <w:tcPr>
            <w:tcW w:w="964" w:type="dxa"/>
            <w:vAlign w:val="center"/>
          </w:tcPr>
          <w:p>
            <w:pPr>
              <w:pStyle w:val="17"/>
              <w:rPr>
                <w:b w:val="0"/>
                <w:sz w:val="18"/>
                <w:szCs w:val="18"/>
              </w:rPr>
            </w:pPr>
            <w:r>
              <w:rPr>
                <w:rFonts w:hint="eastAsia"/>
                <w:b w:val="0"/>
                <w:sz w:val="18"/>
                <w:szCs w:val="18"/>
              </w:rPr>
              <w:t>0.60</w:t>
            </w:r>
          </w:p>
        </w:tc>
        <w:tc>
          <w:tcPr>
            <w:tcW w:w="964" w:type="dxa"/>
            <w:vAlign w:val="center"/>
          </w:tcPr>
          <w:p>
            <w:pPr>
              <w:pStyle w:val="17"/>
              <w:rPr>
                <w:b w:val="0"/>
                <w:sz w:val="18"/>
                <w:szCs w:val="18"/>
              </w:rPr>
            </w:pPr>
          </w:p>
        </w:tc>
        <w:tc>
          <w:tcPr>
            <w:tcW w:w="964" w:type="dxa"/>
            <w:vAlign w:val="center"/>
          </w:tcPr>
          <w:p>
            <w:pPr>
              <w:pStyle w:val="17"/>
              <w:rPr>
                <w:b w:val="0"/>
                <w:sz w:val="18"/>
                <w:szCs w:val="18"/>
              </w:rPr>
            </w:pPr>
          </w:p>
        </w:tc>
        <w:tc>
          <w:tcPr>
            <w:tcW w:w="964" w:type="dxa"/>
            <w:vAlign w:val="center"/>
          </w:tcPr>
          <w:p>
            <w:pPr>
              <w:pStyle w:val="17"/>
              <w:rPr>
                <w:b w:val="0"/>
                <w:sz w:val="18"/>
                <w:szCs w:val="18"/>
              </w:rPr>
            </w:pPr>
          </w:p>
        </w:tc>
        <w:tc>
          <w:tcPr>
            <w:tcW w:w="964" w:type="dxa"/>
            <w:vAlign w:val="center"/>
          </w:tcPr>
          <w:p>
            <w:pPr>
              <w:pStyle w:val="17"/>
              <w:rPr>
                <w:b w:val="0"/>
                <w:sz w:val="18"/>
                <w:szCs w:val="18"/>
              </w:rPr>
            </w:pPr>
          </w:p>
        </w:tc>
        <w:tc>
          <w:tcPr>
            <w:tcW w:w="964" w:type="dxa"/>
            <w:vAlign w:val="center"/>
          </w:tcPr>
          <w:p>
            <w:pPr>
              <w:pStyle w:val="17"/>
              <w:rPr>
                <w:b w:val="0"/>
                <w:sz w:val="18"/>
                <w:szCs w:val="18"/>
              </w:rPr>
            </w:pPr>
          </w:p>
        </w:tc>
        <w:tc>
          <w:tcPr>
            <w:tcW w:w="964" w:type="dxa"/>
            <w:vAlign w:val="center"/>
          </w:tcPr>
          <w:p>
            <w:pPr>
              <w:pStyle w:val="17"/>
              <w:rPr>
                <w:b w:val="0"/>
                <w:sz w:val="18"/>
                <w:szCs w:val="18"/>
              </w:rPr>
            </w:pPr>
          </w:p>
        </w:tc>
        <w:tc>
          <w:tcPr>
            <w:tcW w:w="964" w:type="dxa"/>
            <w:vAlign w:val="center"/>
          </w:tcPr>
          <w:p>
            <w:pPr>
              <w:pStyle w:val="17"/>
              <w:rPr>
                <w:b w:val="0"/>
                <w:sz w:val="18"/>
                <w:szCs w:val="18"/>
              </w:rPr>
            </w:pPr>
            <w:r>
              <w:rPr>
                <w:rFonts w:hint="eastAsia"/>
                <w:b w:val="0"/>
                <w:sz w:val="18"/>
                <w:szCs w:val="18"/>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jc w:val="center"/>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多功能一体机</w:t>
            </w:r>
          </w:p>
        </w:tc>
        <w:tc>
          <w:tcPr>
            <w:tcW w:w="1134" w:type="dxa"/>
            <w:vAlign w:val="center"/>
          </w:tcPr>
          <w:p>
            <w:pPr>
              <w:pStyle w:val="14"/>
              <w:rPr>
                <w:sz w:val="18"/>
                <w:szCs w:val="18"/>
              </w:rPr>
            </w:pPr>
            <w:r>
              <w:rPr>
                <w:rFonts w:hint="eastAsia"/>
                <w:sz w:val="18"/>
                <w:szCs w:val="18"/>
              </w:rPr>
              <w:t>A020204</w:t>
            </w:r>
          </w:p>
        </w:tc>
        <w:tc>
          <w:tcPr>
            <w:tcW w:w="709" w:type="dxa"/>
            <w:vAlign w:val="center"/>
          </w:tcPr>
          <w:p>
            <w:pPr>
              <w:pStyle w:val="15"/>
              <w:rPr>
                <w:sz w:val="18"/>
                <w:szCs w:val="18"/>
              </w:rPr>
            </w:pPr>
            <w:r>
              <w:rPr>
                <w:rFonts w:hint="eastAsia"/>
                <w:sz w:val="18"/>
                <w:szCs w:val="18"/>
              </w:rPr>
              <w:t>台</w:t>
            </w:r>
          </w:p>
        </w:tc>
        <w:tc>
          <w:tcPr>
            <w:tcW w:w="850" w:type="dxa"/>
            <w:vAlign w:val="center"/>
          </w:tcPr>
          <w:p>
            <w:pPr>
              <w:pStyle w:val="13"/>
              <w:rPr>
                <w:sz w:val="18"/>
                <w:szCs w:val="18"/>
              </w:rPr>
            </w:pPr>
            <w:r>
              <w:rPr>
                <w:rFonts w:hint="eastAsia"/>
                <w:sz w:val="18"/>
                <w:szCs w:val="18"/>
              </w:rPr>
              <w:t>1</w:t>
            </w:r>
          </w:p>
        </w:tc>
        <w:tc>
          <w:tcPr>
            <w:tcW w:w="850" w:type="dxa"/>
            <w:vAlign w:val="center"/>
          </w:tcPr>
          <w:p>
            <w:pPr>
              <w:pStyle w:val="13"/>
              <w:rPr>
                <w:sz w:val="18"/>
                <w:szCs w:val="18"/>
              </w:rPr>
            </w:pPr>
            <w:r>
              <w:rPr>
                <w:rFonts w:hint="eastAsia"/>
                <w:sz w:val="18"/>
                <w:szCs w:val="18"/>
              </w:rPr>
              <w:t>1.65</w:t>
            </w:r>
          </w:p>
        </w:tc>
        <w:tc>
          <w:tcPr>
            <w:tcW w:w="964" w:type="dxa"/>
            <w:vAlign w:val="center"/>
          </w:tcPr>
          <w:p>
            <w:pPr>
              <w:pStyle w:val="13"/>
              <w:rPr>
                <w:sz w:val="18"/>
                <w:szCs w:val="18"/>
              </w:rPr>
            </w:pPr>
            <w:r>
              <w:rPr>
                <w:rFonts w:hint="eastAsia"/>
                <w:sz w:val="18"/>
                <w:szCs w:val="18"/>
              </w:rPr>
              <w:t>1.65</w:t>
            </w:r>
          </w:p>
        </w:tc>
        <w:tc>
          <w:tcPr>
            <w:tcW w:w="964" w:type="dxa"/>
            <w:vAlign w:val="center"/>
          </w:tcPr>
          <w:p>
            <w:pPr>
              <w:pStyle w:val="13"/>
              <w:rPr>
                <w:sz w:val="18"/>
                <w:szCs w:val="18"/>
              </w:rPr>
            </w:pPr>
            <w:r>
              <w:rPr>
                <w:rFonts w:hint="eastAsia"/>
                <w:sz w:val="18"/>
                <w:szCs w:val="18"/>
              </w:rPr>
              <w:t>1.65</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jc w:val="center"/>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多功能一体机</w:t>
            </w:r>
          </w:p>
        </w:tc>
        <w:tc>
          <w:tcPr>
            <w:tcW w:w="1134" w:type="dxa"/>
            <w:vAlign w:val="center"/>
          </w:tcPr>
          <w:p>
            <w:pPr>
              <w:pStyle w:val="14"/>
              <w:rPr>
                <w:sz w:val="18"/>
                <w:szCs w:val="18"/>
              </w:rPr>
            </w:pPr>
            <w:r>
              <w:rPr>
                <w:rFonts w:hint="eastAsia"/>
                <w:sz w:val="18"/>
                <w:szCs w:val="18"/>
              </w:rPr>
              <w:t>A020204</w:t>
            </w:r>
          </w:p>
        </w:tc>
        <w:tc>
          <w:tcPr>
            <w:tcW w:w="709" w:type="dxa"/>
            <w:vAlign w:val="center"/>
          </w:tcPr>
          <w:p>
            <w:pPr>
              <w:pStyle w:val="15"/>
              <w:rPr>
                <w:sz w:val="18"/>
                <w:szCs w:val="18"/>
              </w:rPr>
            </w:pPr>
            <w:r>
              <w:rPr>
                <w:rFonts w:hint="eastAsia"/>
                <w:sz w:val="18"/>
                <w:szCs w:val="18"/>
              </w:rPr>
              <w:t>台</w:t>
            </w:r>
          </w:p>
        </w:tc>
        <w:tc>
          <w:tcPr>
            <w:tcW w:w="850" w:type="dxa"/>
            <w:vAlign w:val="center"/>
          </w:tcPr>
          <w:p>
            <w:pPr>
              <w:pStyle w:val="13"/>
              <w:rPr>
                <w:sz w:val="18"/>
                <w:szCs w:val="18"/>
              </w:rPr>
            </w:pPr>
            <w:r>
              <w:rPr>
                <w:rFonts w:hint="eastAsia"/>
                <w:sz w:val="18"/>
                <w:szCs w:val="18"/>
              </w:rPr>
              <w:t>1</w:t>
            </w:r>
          </w:p>
        </w:tc>
        <w:tc>
          <w:tcPr>
            <w:tcW w:w="850" w:type="dxa"/>
            <w:vAlign w:val="center"/>
          </w:tcPr>
          <w:p>
            <w:pPr>
              <w:pStyle w:val="13"/>
              <w:rPr>
                <w:sz w:val="18"/>
                <w:szCs w:val="18"/>
              </w:rPr>
            </w:pPr>
            <w:r>
              <w:rPr>
                <w:rFonts w:hint="eastAsia"/>
                <w:sz w:val="18"/>
                <w:szCs w:val="18"/>
              </w:rPr>
              <w:t>0.43</w:t>
            </w:r>
          </w:p>
        </w:tc>
        <w:tc>
          <w:tcPr>
            <w:tcW w:w="964" w:type="dxa"/>
            <w:vAlign w:val="center"/>
          </w:tcPr>
          <w:p>
            <w:pPr>
              <w:pStyle w:val="13"/>
              <w:rPr>
                <w:sz w:val="18"/>
                <w:szCs w:val="18"/>
              </w:rPr>
            </w:pPr>
            <w:r>
              <w:rPr>
                <w:rFonts w:hint="eastAsia"/>
                <w:sz w:val="18"/>
                <w:szCs w:val="18"/>
              </w:rPr>
              <w:t>0.43</w:t>
            </w:r>
          </w:p>
        </w:tc>
        <w:tc>
          <w:tcPr>
            <w:tcW w:w="964" w:type="dxa"/>
            <w:vAlign w:val="center"/>
          </w:tcPr>
          <w:p>
            <w:pPr>
              <w:pStyle w:val="13"/>
              <w:rPr>
                <w:sz w:val="18"/>
                <w:szCs w:val="18"/>
              </w:rPr>
            </w:pPr>
            <w:r>
              <w:rPr>
                <w:rFonts w:hint="eastAsia"/>
                <w:sz w:val="18"/>
                <w:szCs w:val="18"/>
              </w:rPr>
              <w:t>0.43</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jc w:val="center"/>
            </w:pPr>
            <w:r>
              <w:rPr>
                <w:rFonts w:hint="eastAsia"/>
              </w:rPr>
              <w:t>中心工作经费</w:t>
            </w:r>
          </w:p>
        </w:tc>
        <w:tc>
          <w:tcPr>
            <w:tcW w:w="766" w:type="dxa"/>
            <w:vAlign w:val="center"/>
          </w:tcPr>
          <w:p>
            <w:pPr>
              <w:pStyle w:val="13"/>
            </w:pPr>
            <w:r>
              <w:rPr>
                <w:rFonts w:hint="eastAsia"/>
              </w:rPr>
              <w:t>683.55</w:t>
            </w:r>
          </w:p>
        </w:tc>
        <w:tc>
          <w:tcPr>
            <w:tcW w:w="1134" w:type="dxa"/>
            <w:vAlign w:val="center"/>
          </w:tcPr>
          <w:p>
            <w:pPr>
              <w:pStyle w:val="14"/>
            </w:pPr>
            <w:r>
              <w:rPr>
                <w:rFonts w:hint="eastAsia"/>
              </w:rPr>
              <w:t>其他办公设备</w:t>
            </w:r>
          </w:p>
        </w:tc>
        <w:tc>
          <w:tcPr>
            <w:tcW w:w="1134" w:type="dxa"/>
            <w:vAlign w:val="center"/>
          </w:tcPr>
          <w:p>
            <w:pPr>
              <w:pStyle w:val="14"/>
            </w:pPr>
            <w:r>
              <w:rPr>
                <w:rFonts w:hint="eastAsia"/>
              </w:rPr>
              <w:t>A020299</w:t>
            </w:r>
          </w:p>
        </w:tc>
        <w:tc>
          <w:tcPr>
            <w:tcW w:w="709" w:type="dxa"/>
            <w:vAlign w:val="center"/>
          </w:tcPr>
          <w:p>
            <w:pPr>
              <w:pStyle w:val="15"/>
            </w:pPr>
            <w:r>
              <w:rPr>
                <w:rFonts w:hint="eastAsia"/>
              </w:rPr>
              <w:t>台</w:t>
            </w:r>
          </w:p>
        </w:tc>
        <w:tc>
          <w:tcPr>
            <w:tcW w:w="850" w:type="dxa"/>
            <w:vAlign w:val="center"/>
          </w:tcPr>
          <w:p>
            <w:pPr>
              <w:pStyle w:val="13"/>
            </w:pPr>
            <w:r>
              <w:rPr>
                <w:rFonts w:hint="eastAsia"/>
              </w:rPr>
              <w:t>1</w:t>
            </w:r>
          </w:p>
        </w:tc>
        <w:tc>
          <w:tcPr>
            <w:tcW w:w="850" w:type="dxa"/>
            <w:vAlign w:val="center"/>
          </w:tcPr>
          <w:p>
            <w:pPr>
              <w:pStyle w:val="13"/>
            </w:pPr>
            <w:r>
              <w:rPr>
                <w:rFonts w:hint="eastAsia"/>
              </w:rPr>
              <w:t>0.36</w:t>
            </w:r>
          </w:p>
        </w:tc>
        <w:tc>
          <w:tcPr>
            <w:tcW w:w="964" w:type="dxa"/>
            <w:vAlign w:val="center"/>
          </w:tcPr>
          <w:p>
            <w:pPr>
              <w:pStyle w:val="13"/>
            </w:pPr>
            <w:r>
              <w:rPr>
                <w:rFonts w:hint="eastAsia"/>
              </w:rPr>
              <w:t>0.36</w:t>
            </w:r>
          </w:p>
        </w:tc>
        <w:tc>
          <w:tcPr>
            <w:tcW w:w="964" w:type="dxa"/>
            <w:vAlign w:val="center"/>
          </w:tcPr>
          <w:p>
            <w:pPr>
              <w:pStyle w:val="13"/>
            </w:pPr>
            <w:r>
              <w:rPr>
                <w:rFonts w:hint="eastAsia"/>
              </w:rPr>
              <w:t>0.36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rPr>
                <w:rFonts w:hint="eastAsi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jc w:val="center"/>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钢木床类</w:t>
            </w:r>
          </w:p>
        </w:tc>
        <w:tc>
          <w:tcPr>
            <w:tcW w:w="1134" w:type="dxa"/>
            <w:vAlign w:val="center"/>
          </w:tcPr>
          <w:p>
            <w:pPr>
              <w:pStyle w:val="14"/>
              <w:rPr>
                <w:sz w:val="18"/>
                <w:szCs w:val="18"/>
              </w:rPr>
            </w:pPr>
            <w:r>
              <w:rPr>
                <w:rFonts w:hint="eastAsia"/>
                <w:sz w:val="18"/>
                <w:szCs w:val="18"/>
              </w:rPr>
              <w:t>A060101</w:t>
            </w:r>
          </w:p>
        </w:tc>
        <w:tc>
          <w:tcPr>
            <w:tcW w:w="709" w:type="dxa"/>
            <w:vAlign w:val="center"/>
          </w:tcPr>
          <w:p>
            <w:pPr>
              <w:pStyle w:val="15"/>
              <w:rPr>
                <w:sz w:val="18"/>
                <w:szCs w:val="18"/>
              </w:rPr>
            </w:pPr>
            <w:r>
              <w:rPr>
                <w:rFonts w:hint="eastAsia"/>
                <w:sz w:val="18"/>
                <w:szCs w:val="18"/>
              </w:rPr>
              <w:t>张</w:t>
            </w:r>
          </w:p>
        </w:tc>
        <w:tc>
          <w:tcPr>
            <w:tcW w:w="850" w:type="dxa"/>
            <w:vAlign w:val="center"/>
          </w:tcPr>
          <w:p>
            <w:pPr>
              <w:pStyle w:val="13"/>
              <w:rPr>
                <w:sz w:val="18"/>
                <w:szCs w:val="18"/>
              </w:rPr>
            </w:pPr>
            <w:r>
              <w:rPr>
                <w:rFonts w:hint="eastAsia"/>
                <w:sz w:val="18"/>
                <w:szCs w:val="18"/>
              </w:rPr>
              <w:t>58</w:t>
            </w:r>
          </w:p>
        </w:tc>
        <w:tc>
          <w:tcPr>
            <w:tcW w:w="850" w:type="dxa"/>
            <w:vAlign w:val="center"/>
          </w:tcPr>
          <w:p>
            <w:pPr>
              <w:pStyle w:val="13"/>
              <w:rPr>
                <w:sz w:val="18"/>
                <w:szCs w:val="18"/>
              </w:rPr>
            </w:pPr>
            <w:r>
              <w:rPr>
                <w:rFonts w:hint="eastAsia"/>
                <w:sz w:val="18"/>
                <w:szCs w:val="18"/>
              </w:rPr>
              <w:t>0.15</w:t>
            </w:r>
          </w:p>
        </w:tc>
        <w:tc>
          <w:tcPr>
            <w:tcW w:w="964" w:type="dxa"/>
            <w:vAlign w:val="center"/>
          </w:tcPr>
          <w:p>
            <w:pPr>
              <w:pStyle w:val="13"/>
              <w:rPr>
                <w:sz w:val="18"/>
                <w:szCs w:val="18"/>
              </w:rPr>
            </w:pPr>
            <w:r>
              <w:rPr>
                <w:rFonts w:hint="eastAsia"/>
                <w:sz w:val="18"/>
                <w:szCs w:val="18"/>
              </w:rPr>
              <w:t>8.70</w:t>
            </w:r>
          </w:p>
        </w:tc>
        <w:tc>
          <w:tcPr>
            <w:tcW w:w="964" w:type="dxa"/>
            <w:vAlign w:val="center"/>
          </w:tcPr>
          <w:p>
            <w:pPr>
              <w:pStyle w:val="13"/>
              <w:rPr>
                <w:sz w:val="18"/>
                <w:szCs w:val="18"/>
              </w:rPr>
            </w:pPr>
            <w:r>
              <w:rPr>
                <w:rFonts w:hint="eastAsia"/>
                <w:sz w:val="18"/>
                <w:szCs w:val="18"/>
              </w:rPr>
              <w:t>8.70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jc w:val="center"/>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木质台、桌类</w:t>
            </w:r>
          </w:p>
        </w:tc>
        <w:tc>
          <w:tcPr>
            <w:tcW w:w="1134" w:type="dxa"/>
            <w:vAlign w:val="center"/>
          </w:tcPr>
          <w:p>
            <w:pPr>
              <w:pStyle w:val="14"/>
              <w:rPr>
                <w:sz w:val="18"/>
                <w:szCs w:val="18"/>
              </w:rPr>
            </w:pPr>
            <w:r>
              <w:rPr>
                <w:rFonts w:hint="eastAsia"/>
                <w:sz w:val="18"/>
                <w:szCs w:val="18"/>
              </w:rPr>
              <w:t>A060205</w:t>
            </w:r>
          </w:p>
        </w:tc>
        <w:tc>
          <w:tcPr>
            <w:tcW w:w="709" w:type="dxa"/>
            <w:vAlign w:val="center"/>
          </w:tcPr>
          <w:p>
            <w:pPr>
              <w:pStyle w:val="15"/>
              <w:rPr>
                <w:sz w:val="18"/>
                <w:szCs w:val="18"/>
              </w:rPr>
            </w:pPr>
            <w:r>
              <w:rPr>
                <w:rFonts w:hint="eastAsia"/>
                <w:sz w:val="18"/>
                <w:szCs w:val="18"/>
              </w:rPr>
              <w:t>张</w:t>
            </w:r>
          </w:p>
        </w:tc>
        <w:tc>
          <w:tcPr>
            <w:tcW w:w="850" w:type="dxa"/>
            <w:vAlign w:val="center"/>
          </w:tcPr>
          <w:p>
            <w:pPr>
              <w:pStyle w:val="13"/>
              <w:rPr>
                <w:sz w:val="18"/>
                <w:szCs w:val="18"/>
              </w:rPr>
            </w:pPr>
            <w:r>
              <w:rPr>
                <w:rFonts w:hint="eastAsia"/>
                <w:sz w:val="18"/>
                <w:szCs w:val="18"/>
              </w:rPr>
              <w:t>2</w:t>
            </w:r>
          </w:p>
        </w:tc>
        <w:tc>
          <w:tcPr>
            <w:tcW w:w="850" w:type="dxa"/>
            <w:vAlign w:val="center"/>
          </w:tcPr>
          <w:p>
            <w:pPr>
              <w:pStyle w:val="13"/>
              <w:rPr>
                <w:sz w:val="18"/>
                <w:szCs w:val="18"/>
              </w:rPr>
            </w:pPr>
            <w:r>
              <w:rPr>
                <w:rFonts w:hint="eastAsia"/>
                <w:sz w:val="18"/>
                <w:szCs w:val="18"/>
              </w:rPr>
              <w:t>0.20</w:t>
            </w:r>
          </w:p>
        </w:tc>
        <w:tc>
          <w:tcPr>
            <w:tcW w:w="964" w:type="dxa"/>
            <w:vAlign w:val="center"/>
          </w:tcPr>
          <w:p>
            <w:pPr>
              <w:pStyle w:val="13"/>
              <w:rPr>
                <w:sz w:val="18"/>
                <w:szCs w:val="18"/>
              </w:rPr>
            </w:pPr>
            <w:r>
              <w:rPr>
                <w:rFonts w:hint="eastAsia"/>
                <w:sz w:val="18"/>
                <w:szCs w:val="18"/>
              </w:rPr>
              <w:t>0.40</w:t>
            </w:r>
          </w:p>
        </w:tc>
        <w:tc>
          <w:tcPr>
            <w:tcW w:w="964" w:type="dxa"/>
            <w:vAlign w:val="center"/>
          </w:tcPr>
          <w:p>
            <w:pPr>
              <w:pStyle w:val="13"/>
              <w:rPr>
                <w:sz w:val="18"/>
                <w:szCs w:val="18"/>
              </w:rPr>
            </w:pPr>
            <w:r>
              <w:rPr>
                <w:rFonts w:hint="eastAsia"/>
                <w:sz w:val="18"/>
                <w:szCs w:val="18"/>
              </w:rPr>
              <w:t>0.40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jc w:val="center"/>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其他椅凳类</w:t>
            </w:r>
          </w:p>
        </w:tc>
        <w:tc>
          <w:tcPr>
            <w:tcW w:w="1134" w:type="dxa"/>
            <w:vAlign w:val="center"/>
          </w:tcPr>
          <w:p>
            <w:pPr>
              <w:pStyle w:val="14"/>
              <w:rPr>
                <w:sz w:val="18"/>
                <w:szCs w:val="18"/>
              </w:rPr>
            </w:pPr>
            <w:r>
              <w:rPr>
                <w:rFonts w:hint="eastAsia"/>
                <w:sz w:val="18"/>
                <w:szCs w:val="18"/>
              </w:rPr>
              <w:t>A060399</w:t>
            </w:r>
          </w:p>
        </w:tc>
        <w:tc>
          <w:tcPr>
            <w:tcW w:w="709" w:type="dxa"/>
            <w:vAlign w:val="center"/>
          </w:tcPr>
          <w:p>
            <w:pPr>
              <w:pStyle w:val="15"/>
              <w:rPr>
                <w:sz w:val="18"/>
                <w:szCs w:val="18"/>
              </w:rPr>
            </w:pPr>
            <w:r>
              <w:rPr>
                <w:rFonts w:hint="eastAsia"/>
                <w:sz w:val="18"/>
                <w:szCs w:val="18"/>
              </w:rPr>
              <w:t>张</w:t>
            </w:r>
          </w:p>
        </w:tc>
        <w:tc>
          <w:tcPr>
            <w:tcW w:w="850" w:type="dxa"/>
            <w:vAlign w:val="center"/>
          </w:tcPr>
          <w:p>
            <w:pPr>
              <w:pStyle w:val="13"/>
              <w:rPr>
                <w:sz w:val="18"/>
                <w:szCs w:val="18"/>
              </w:rPr>
            </w:pPr>
            <w:r>
              <w:rPr>
                <w:rFonts w:hint="eastAsia"/>
                <w:sz w:val="18"/>
                <w:szCs w:val="18"/>
              </w:rPr>
              <w:t>2</w:t>
            </w:r>
          </w:p>
        </w:tc>
        <w:tc>
          <w:tcPr>
            <w:tcW w:w="850" w:type="dxa"/>
            <w:vAlign w:val="center"/>
          </w:tcPr>
          <w:p>
            <w:pPr>
              <w:pStyle w:val="13"/>
              <w:rPr>
                <w:sz w:val="18"/>
                <w:szCs w:val="18"/>
              </w:rPr>
            </w:pPr>
            <w:r>
              <w:rPr>
                <w:rFonts w:hint="eastAsia"/>
                <w:sz w:val="18"/>
                <w:szCs w:val="18"/>
              </w:rPr>
              <w:t>0.10</w:t>
            </w:r>
          </w:p>
        </w:tc>
        <w:tc>
          <w:tcPr>
            <w:tcW w:w="964" w:type="dxa"/>
            <w:vAlign w:val="center"/>
          </w:tcPr>
          <w:p>
            <w:pPr>
              <w:pStyle w:val="13"/>
              <w:rPr>
                <w:sz w:val="18"/>
                <w:szCs w:val="18"/>
              </w:rPr>
            </w:pPr>
            <w:r>
              <w:rPr>
                <w:rFonts w:hint="eastAsia"/>
                <w:sz w:val="18"/>
                <w:szCs w:val="18"/>
              </w:rPr>
              <w:t>0.20</w:t>
            </w:r>
          </w:p>
        </w:tc>
        <w:tc>
          <w:tcPr>
            <w:tcW w:w="964" w:type="dxa"/>
            <w:vAlign w:val="center"/>
          </w:tcPr>
          <w:p>
            <w:pPr>
              <w:pStyle w:val="13"/>
              <w:rPr>
                <w:sz w:val="18"/>
                <w:szCs w:val="18"/>
              </w:rPr>
            </w:pPr>
            <w:r>
              <w:rPr>
                <w:rFonts w:hint="eastAsia"/>
                <w:sz w:val="18"/>
                <w:szCs w:val="18"/>
              </w:rPr>
              <w:t>0.20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其他沙发类</w:t>
            </w:r>
          </w:p>
        </w:tc>
        <w:tc>
          <w:tcPr>
            <w:tcW w:w="1134" w:type="dxa"/>
            <w:vAlign w:val="center"/>
          </w:tcPr>
          <w:p>
            <w:pPr>
              <w:pStyle w:val="14"/>
              <w:rPr>
                <w:sz w:val="18"/>
                <w:szCs w:val="18"/>
              </w:rPr>
            </w:pPr>
            <w:r>
              <w:rPr>
                <w:rFonts w:hint="eastAsia"/>
                <w:sz w:val="18"/>
                <w:szCs w:val="18"/>
              </w:rPr>
              <w:t>A060499</w:t>
            </w:r>
          </w:p>
        </w:tc>
        <w:tc>
          <w:tcPr>
            <w:tcW w:w="709" w:type="dxa"/>
            <w:vAlign w:val="center"/>
          </w:tcPr>
          <w:p>
            <w:pPr>
              <w:pStyle w:val="15"/>
              <w:rPr>
                <w:sz w:val="18"/>
                <w:szCs w:val="18"/>
              </w:rPr>
            </w:pPr>
            <w:r>
              <w:rPr>
                <w:rFonts w:hint="eastAsia"/>
                <w:sz w:val="18"/>
                <w:szCs w:val="18"/>
              </w:rPr>
              <w:t>张</w:t>
            </w:r>
          </w:p>
        </w:tc>
        <w:tc>
          <w:tcPr>
            <w:tcW w:w="850" w:type="dxa"/>
            <w:vAlign w:val="center"/>
          </w:tcPr>
          <w:p>
            <w:pPr>
              <w:pStyle w:val="13"/>
              <w:rPr>
                <w:sz w:val="18"/>
                <w:szCs w:val="18"/>
              </w:rPr>
            </w:pPr>
            <w:r>
              <w:rPr>
                <w:rFonts w:hint="eastAsia"/>
                <w:sz w:val="18"/>
                <w:szCs w:val="18"/>
              </w:rPr>
              <w:t>6</w:t>
            </w:r>
          </w:p>
        </w:tc>
        <w:tc>
          <w:tcPr>
            <w:tcW w:w="850" w:type="dxa"/>
            <w:vAlign w:val="center"/>
          </w:tcPr>
          <w:p>
            <w:pPr>
              <w:pStyle w:val="13"/>
              <w:rPr>
                <w:sz w:val="18"/>
                <w:szCs w:val="18"/>
              </w:rPr>
            </w:pPr>
            <w:r>
              <w:rPr>
                <w:rFonts w:hint="eastAsia"/>
                <w:sz w:val="18"/>
                <w:szCs w:val="18"/>
              </w:rPr>
              <w:t>0.08</w:t>
            </w:r>
          </w:p>
        </w:tc>
        <w:tc>
          <w:tcPr>
            <w:tcW w:w="964" w:type="dxa"/>
            <w:vAlign w:val="center"/>
          </w:tcPr>
          <w:p>
            <w:pPr>
              <w:pStyle w:val="13"/>
              <w:rPr>
                <w:sz w:val="18"/>
                <w:szCs w:val="18"/>
              </w:rPr>
            </w:pPr>
            <w:r>
              <w:rPr>
                <w:rFonts w:hint="eastAsia"/>
                <w:sz w:val="18"/>
                <w:szCs w:val="18"/>
              </w:rPr>
              <w:t>0.48</w:t>
            </w:r>
          </w:p>
        </w:tc>
        <w:tc>
          <w:tcPr>
            <w:tcW w:w="964" w:type="dxa"/>
            <w:vAlign w:val="center"/>
          </w:tcPr>
          <w:p>
            <w:pPr>
              <w:pStyle w:val="13"/>
              <w:rPr>
                <w:sz w:val="18"/>
                <w:szCs w:val="18"/>
              </w:rPr>
            </w:pPr>
            <w:r>
              <w:rPr>
                <w:rFonts w:hint="eastAsia"/>
                <w:sz w:val="18"/>
                <w:szCs w:val="18"/>
              </w:rPr>
              <w:t>0.48</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木质柜类</w:t>
            </w:r>
          </w:p>
        </w:tc>
        <w:tc>
          <w:tcPr>
            <w:tcW w:w="1134" w:type="dxa"/>
            <w:vAlign w:val="center"/>
          </w:tcPr>
          <w:p>
            <w:pPr>
              <w:pStyle w:val="14"/>
              <w:rPr>
                <w:sz w:val="18"/>
                <w:szCs w:val="18"/>
              </w:rPr>
            </w:pPr>
            <w:r>
              <w:rPr>
                <w:rFonts w:hint="eastAsia"/>
                <w:sz w:val="18"/>
                <w:szCs w:val="18"/>
              </w:rPr>
              <w:t>A060501</w:t>
            </w:r>
          </w:p>
        </w:tc>
        <w:tc>
          <w:tcPr>
            <w:tcW w:w="709" w:type="dxa"/>
            <w:vAlign w:val="center"/>
          </w:tcPr>
          <w:p>
            <w:pPr>
              <w:pStyle w:val="15"/>
              <w:rPr>
                <w:sz w:val="18"/>
                <w:szCs w:val="18"/>
              </w:rPr>
            </w:pPr>
            <w:r>
              <w:rPr>
                <w:rFonts w:hint="eastAsia"/>
                <w:sz w:val="18"/>
                <w:szCs w:val="18"/>
              </w:rPr>
              <w:t>套</w:t>
            </w:r>
          </w:p>
        </w:tc>
        <w:tc>
          <w:tcPr>
            <w:tcW w:w="850" w:type="dxa"/>
            <w:vAlign w:val="center"/>
          </w:tcPr>
          <w:p>
            <w:pPr>
              <w:pStyle w:val="13"/>
              <w:rPr>
                <w:sz w:val="18"/>
                <w:szCs w:val="18"/>
              </w:rPr>
            </w:pPr>
            <w:r>
              <w:rPr>
                <w:rFonts w:hint="eastAsia"/>
                <w:sz w:val="18"/>
                <w:szCs w:val="18"/>
              </w:rPr>
              <w:t>2</w:t>
            </w:r>
          </w:p>
        </w:tc>
        <w:tc>
          <w:tcPr>
            <w:tcW w:w="850" w:type="dxa"/>
            <w:vAlign w:val="center"/>
          </w:tcPr>
          <w:p>
            <w:pPr>
              <w:pStyle w:val="13"/>
              <w:rPr>
                <w:sz w:val="18"/>
                <w:szCs w:val="18"/>
              </w:rPr>
            </w:pPr>
            <w:r>
              <w:rPr>
                <w:rFonts w:hint="eastAsia"/>
                <w:sz w:val="18"/>
                <w:szCs w:val="18"/>
              </w:rPr>
              <w:t>0.20</w:t>
            </w:r>
          </w:p>
        </w:tc>
        <w:tc>
          <w:tcPr>
            <w:tcW w:w="964" w:type="dxa"/>
            <w:vAlign w:val="center"/>
          </w:tcPr>
          <w:p>
            <w:pPr>
              <w:pStyle w:val="13"/>
              <w:rPr>
                <w:sz w:val="18"/>
                <w:szCs w:val="18"/>
              </w:rPr>
            </w:pPr>
            <w:r>
              <w:rPr>
                <w:rFonts w:hint="eastAsia"/>
                <w:sz w:val="18"/>
                <w:szCs w:val="18"/>
              </w:rPr>
              <w:t>0.40</w:t>
            </w:r>
          </w:p>
        </w:tc>
        <w:tc>
          <w:tcPr>
            <w:tcW w:w="964" w:type="dxa"/>
            <w:vAlign w:val="center"/>
          </w:tcPr>
          <w:p>
            <w:pPr>
              <w:pStyle w:val="13"/>
              <w:rPr>
                <w:sz w:val="18"/>
                <w:szCs w:val="18"/>
              </w:rPr>
            </w:pPr>
            <w:r>
              <w:rPr>
                <w:rFonts w:hint="eastAsia"/>
                <w:sz w:val="18"/>
                <w:szCs w:val="18"/>
              </w:rPr>
              <w:t>0.40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木质柜类</w:t>
            </w:r>
          </w:p>
        </w:tc>
        <w:tc>
          <w:tcPr>
            <w:tcW w:w="1134" w:type="dxa"/>
            <w:vAlign w:val="center"/>
          </w:tcPr>
          <w:p>
            <w:pPr>
              <w:pStyle w:val="14"/>
              <w:rPr>
                <w:sz w:val="18"/>
                <w:szCs w:val="18"/>
              </w:rPr>
            </w:pPr>
            <w:r>
              <w:rPr>
                <w:rFonts w:hint="eastAsia"/>
                <w:sz w:val="18"/>
                <w:szCs w:val="18"/>
              </w:rPr>
              <w:t>A060501</w:t>
            </w:r>
          </w:p>
        </w:tc>
        <w:tc>
          <w:tcPr>
            <w:tcW w:w="709" w:type="dxa"/>
            <w:vAlign w:val="center"/>
          </w:tcPr>
          <w:p>
            <w:pPr>
              <w:pStyle w:val="15"/>
              <w:rPr>
                <w:sz w:val="18"/>
                <w:szCs w:val="18"/>
              </w:rPr>
            </w:pPr>
            <w:r>
              <w:rPr>
                <w:rFonts w:hint="eastAsia"/>
                <w:sz w:val="18"/>
                <w:szCs w:val="18"/>
              </w:rPr>
              <w:t>套</w:t>
            </w:r>
          </w:p>
        </w:tc>
        <w:tc>
          <w:tcPr>
            <w:tcW w:w="850" w:type="dxa"/>
            <w:vAlign w:val="center"/>
          </w:tcPr>
          <w:p>
            <w:pPr>
              <w:pStyle w:val="13"/>
              <w:rPr>
                <w:sz w:val="18"/>
                <w:szCs w:val="18"/>
              </w:rPr>
            </w:pPr>
            <w:r>
              <w:rPr>
                <w:rFonts w:hint="eastAsia"/>
                <w:sz w:val="18"/>
                <w:szCs w:val="18"/>
              </w:rPr>
              <w:t>2</w:t>
            </w:r>
          </w:p>
        </w:tc>
        <w:tc>
          <w:tcPr>
            <w:tcW w:w="850" w:type="dxa"/>
            <w:vAlign w:val="center"/>
          </w:tcPr>
          <w:p>
            <w:pPr>
              <w:pStyle w:val="13"/>
              <w:rPr>
                <w:sz w:val="18"/>
                <w:szCs w:val="18"/>
              </w:rPr>
            </w:pPr>
            <w:r>
              <w:rPr>
                <w:rFonts w:hint="eastAsia"/>
                <w:sz w:val="18"/>
                <w:szCs w:val="18"/>
              </w:rPr>
              <w:t>0.08</w:t>
            </w:r>
          </w:p>
        </w:tc>
        <w:tc>
          <w:tcPr>
            <w:tcW w:w="964" w:type="dxa"/>
            <w:vAlign w:val="center"/>
          </w:tcPr>
          <w:p>
            <w:pPr>
              <w:pStyle w:val="13"/>
              <w:rPr>
                <w:sz w:val="18"/>
                <w:szCs w:val="18"/>
              </w:rPr>
            </w:pPr>
            <w:r>
              <w:rPr>
                <w:rFonts w:hint="eastAsia"/>
                <w:sz w:val="18"/>
                <w:szCs w:val="18"/>
              </w:rPr>
              <w:t>0.16</w:t>
            </w:r>
          </w:p>
        </w:tc>
        <w:tc>
          <w:tcPr>
            <w:tcW w:w="964" w:type="dxa"/>
            <w:vAlign w:val="center"/>
          </w:tcPr>
          <w:p>
            <w:pPr>
              <w:pStyle w:val="13"/>
              <w:rPr>
                <w:sz w:val="18"/>
                <w:szCs w:val="18"/>
              </w:rPr>
            </w:pPr>
            <w:r>
              <w:rPr>
                <w:rFonts w:hint="eastAsia"/>
                <w:sz w:val="18"/>
                <w:szCs w:val="18"/>
              </w:rPr>
              <w:t>0.16</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木质柜类</w:t>
            </w:r>
          </w:p>
        </w:tc>
        <w:tc>
          <w:tcPr>
            <w:tcW w:w="1134" w:type="dxa"/>
            <w:vAlign w:val="center"/>
          </w:tcPr>
          <w:p>
            <w:pPr>
              <w:pStyle w:val="14"/>
              <w:rPr>
                <w:sz w:val="18"/>
                <w:szCs w:val="18"/>
              </w:rPr>
            </w:pPr>
            <w:r>
              <w:rPr>
                <w:rFonts w:hint="eastAsia"/>
                <w:sz w:val="18"/>
                <w:szCs w:val="18"/>
              </w:rPr>
              <w:t>A060501</w:t>
            </w:r>
          </w:p>
        </w:tc>
        <w:tc>
          <w:tcPr>
            <w:tcW w:w="709" w:type="dxa"/>
            <w:vAlign w:val="center"/>
          </w:tcPr>
          <w:p>
            <w:pPr>
              <w:pStyle w:val="15"/>
              <w:rPr>
                <w:sz w:val="18"/>
                <w:szCs w:val="18"/>
              </w:rPr>
            </w:pPr>
            <w:r>
              <w:rPr>
                <w:rFonts w:hint="eastAsia"/>
                <w:sz w:val="18"/>
                <w:szCs w:val="18"/>
              </w:rPr>
              <w:t>套</w:t>
            </w:r>
          </w:p>
        </w:tc>
        <w:tc>
          <w:tcPr>
            <w:tcW w:w="850" w:type="dxa"/>
            <w:vAlign w:val="center"/>
          </w:tcPr>
          <w:p>
            <w:pPr>
              <w:pStyle w:val="13"/>
              <w:rPr>
                <w:sz w:val="18"/>
                <w:szCs w:val="18"/>
              </w:rPr>
            </w:pPr>
            <w:r>
              <w:rPr>
                <w:rFonts w:hint="eastAsia"/>
                <w:sz w:val="18"/>
                <w:szCs w:val="18"/>
              </w:rPr>
              <w:t>1</w:t>
            </w:r>
          </w:p>
        </w:tc>
        <w:tc>
          <w:tcPr>
            <w:tcW w:w="850" w:type="dxa"/>
            <w:vAlign w:val="center"/>
          </w:tcPr>
          <w:p>
            <w:pPr>
              <w:pStyle w:val="13"/>
              <w:rPr>
                <w:sz w:val="18"/>
                <w:szCs w:val="18"/>
              </w:rPr>
            </w:pPr>
            <w:r>
              <w:rPr>
                <w:rFonts w:hint="eastAsia"/>
                <w:sz w:val="18"/>
                <w:szCs w:val="18"/>
              </w:rPr>
              <w:t>0.40</w:t>
            </w:r>
          </w:p>
        </w:tc>
        <w:tc>
          <w:tcPr>
            <w:tcW w:w="964" w:type="dxa"/>
            <w:vAlign w:val="center"/>
          </w:tcPr>
          <w:p>
            <w:pPr>
              <w:pStyle w:val="13"/>
              <w:rPr>
                <w:sz w:val="18"/>
                <w:szCs w:val="18"/>
              </w:rPr>
            </w:pPr>
            <w:r>
              <w:rPr>
                <w:rFonts w:hint="eastAsia"/>
                <w:sz w:val="18"/>
                <w:szCs w:val="18"/>
              </w:rPr>
              <w:t>0.40</w:t>
            </w:r>
          </w:p>
        </w:tc>
        <w:tc>
          <w:tcPr>
            <w:tcW w:w="964" w:type="dxa"/>
            <w:vAlign w:val="center"/>
          </w:tcPr>
          <w:p>
            <w:pPr>
              <w:pStyle w:val="13"/>
              <w:rPr>
                <w:sz w:val="18"/>
                <w:szCs w:val="18"/>
              </w:rPr>
            </w:pPr>
            <w:r>
              <w:rPr>
                <w:rFonts w:hint="eastAsia"/>
                <w:sz w:val="18"/>
                <w:szCs w:val="18"/>
              </w:rPr>
              <w:t>0.40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木质柜类</w:t>
            </w:r>
          </w:p>
        </w:tc>
        <w:tc>
          <w:tcPr>
            <w:tcW w:w="1134" w:type="dxa"/>
            <w:vAlign w:val="center"/>
          </w:tcPr>
          <w:p>
            <w:pPr>
              <w:pStyle w:val="14"/>
              <w:rPr>
                <w:sz w:val="18"/>
                <w:szCs w:val="18"/>
              </w:rPr>
            </w:pPr>
            <w:r>
              <w:rPr>
                <w:rFonts w:hint="eastAsia"/>
                <w:sz w:val="18"/>
                <w:szCs w:val="18"/>
              </w:rPr>
              <w:t>A060501</w:t>
            </w:r>
          </w:p>
        </w:tc>
        <w:tc>
          <w:tcPr>
            <w:tcW w:w="709" w:type="dxa"/>
            <w:vAlign w:val="center"/>
          </w:tcPr>
          <w:p>
            <w:pPr>
              <w:pStyle w:val="15"/>
              <w:rPr>
                <w:sz w:val="18"/>
                <w:szCs w:val="18"/>
              </w:rPr>
            </w:pPr>
            <w:r>
              <w:rPr>
                <w:rFonts w:hint="eastAsia"/>
                <w:sz w:val="18"/>
                <w:szCs w:val="18"/>
              </w:rPr>
              <w:t>个</w:t>
            </w:r>
          </w:p>
        </w:tc>
        <w:tc>
          <w:tcPr>
            <w:tcW w:w="850" w:type="dxa"/>
            <w:vAlign w:val="center"/>
          </w:tcPr>
          <w:p>
            <w:pPr>
              <w:pStyle w:val="13"/>
              <w:rPr>
                <w:sz w:val="18"/>
                <w:szCs w:val="18"/>
              </w:rPr>
            </w:pPr>
            <w:r>
              <w:rPr>
                <w:rFonts w:hint="eastAsia"/>
                <w:sz w:val="18"/>
                <w:szCs w:val="18"/>
              </w:rPr>
              <w:t>1</w:t>
            </w:r>
          </w:p>
        </w:tc>
        <w:tc>
          <w:tcPr>
            <w:tcW w:w="850" w:type="dxa"/>
            <w:vAlign w:val="center"/>
          </w:tcPr>
          <w:p>
            <w:pPr>
              <w:pStyle w:val="13"/>
              <w:rPr>
                <w:sz w:val="18"/>
                <w:szCs w:val="18"/>
              </w:rPr>
            </w:pPr>
            <w:r>
              <w:rPr>
                <w:rFonts w:hint="eastAsia"/>
                <w:sz w:val="18"/>
                <w:szCs w:val="18"/>
              </w:rPr>
              <w:t>0.10</w:t>
            </w:r>
          </w:p>
        </w:tc>
        <w:tc>
          <w:tcPr>
            <w:tcW w:w="964" w:type="dxa"/>
            <w:vAlign w:val="center"/>
          </w:tcPr>
          <w:p>
            <w:pPr>
              <w:pStyle w:val="13"/>
              <w:rPr>
                <w:sz w:val="18"/>
                <w:szCs w:val="18"/>
              </w:rPr>
            </w:pPr>
            <w:r>
              <w:rPr>
                <w:rFonts w:hint="eastAsia"/>
                <w:sz w:val="18"/>
                <w:szCs w:val="18"/>
              </w:rPr>
              <w:t>0.10</w:t>
            </w:r>
          </w:p>
        </w:tc>
        <w:tc>
          <w:tcPr>
            <w:tcW w:w="964" w:type="dxa"/>
            <w:vAlign w:val="center"/>
          </w:tcPr>
          <w:p>
            <w:pPr>
              <w:pStyle w:val="13"/>
              <w:rPr>
                <w:sz w:val="18"/>
                <w:szCs w:val="18"/>
              </w:rPr>
            </w:pPr>
            <w:r>
              <w:rPr>
                <w:rFonts w:hint="eastAsia"/>
                <w:sz w:val="18"/>
                <w:szCs w:val="18"/>
              </w:rPr>
              <w:t>0.10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木质柜类</w:t>
            </w:r>
          </w:p>
        </w:tc>
        <w:tc>
          <w:tcPr>
            <w:tcW w:w="1134" w:type="dxa"/>
            <w:vAlign w:val="center"/>
          </w:tcPr>
          <w:p>
            <w:pPr>
              <w:pStyle w:val="14"/>
              <w:rPr>
                <w:sz w:val="18"/>
                <w:szCs w:val="18"/>
              </w:rPr>
            </w:pPr>
            <w:r>
              <w:rPr>
                <w:rFonts w:hint="eastAsia"/>
                <w:sz w:val="18"/>
                <w:szCs w:val="18"/>
              </w:rPr>
              <w:t>A060501</w:t>
            </w:r>
          </w:p>
        </w:tc>
        <w:tc>
          <w:tcPr>
            <w:tcW w:w="709" w:type="dxa"/>
            <w:vAlign w:val="center"/>
          </w:tcPr>
          <w:p>
            <w:pPr>
              <w:pStyle w:val="15"/>
              <w:rPr>
                <w:sz w:val="18"/>
                <w:szCs w:val="18"/>
              </w:rPr>
            </w:pPr>
            <w:r>
              <w:rPr>
                <w:rFonts w:hint="eastAsia"/>
                <w:sz w:val="18"/>
                <w:szCs w:val="18"/>
              </w:rPr>
              <w:t>套</w:t>
            </w:r>
          </w:p>
        </w:tc>
        <w:tc>
          <w:tcPr>
            <w:tcW w:w="850" w:type="dxa"/>
            <w:vAlign w:val="center"/>
          </w:tcPr>
          <w:p>
            <w:pPr>
              <w:pStyle w:val="13"/>
              <w:rPr>
                <w:sz w:val="18"/>
                <w:szCs w:val="18"/>
              </w:rPr>
            </w:pPr>
            <w:r>
              <w:rPr>
                <w:rFonts w:hint="eastAsia"/>
                <w:sz w:val="18"/>
                <w:szCs w:val="18"/>
              </w:rPr>
              <w:t>43</w:t>
            </w:r>
          </w:p>
        </w:tc>
        <w:tc>
          <w:tcPr>
            <w:tcW w:w="850" w:type="dxa"/>
            <w:vAlign w:val="center"/>
          </w:tcPr>
          <w:p>
            <w:pPr>
              <w:pStyle w:val="13"/>
              <w:rPr>
                <w:sz w:val="18"/>
                <w:szCs w:val="18"/>
              </w:rPr>
            </w:pPr>
            <w:r>
              <w:rPr>
                <w:rFonts w:hint="eastAsia"/>
                <w:sz w:val="18"/>
                <w:szCs w:val="18"/>
              </w:rPr>
              <w:t>0.09</w:t>
            </w:r>
          </w:p>
        </w:tc>
        <w:tc>
          <w:tcPr>
            <w:tcW w:w="964" w:type="dxa"/>
            <w:vAlign w:val="center"/>
          </w:tcPr>
          <w:p>
            <w:pPr>
              <w:pStyle w:val="13"/>
              <w:rPr>
                <w:sz w:val="18"/>
                <w:szCs w:val="18"/>
              </w:rPr>
            </w:pPr>
            <w:r>
              <w:rPr>
                <w:rFonts w:hint="eastAsia"/>
                <w:sz w:val="18"/>
                <w:szCs w:val="18"/>
              </w:rPr>
              <w:t>3.87</w:t>
            </w:r>
          </w:p>
        </w:tc>
        <w:tc>
          <w:tcPr>
            <w:tcW w:w="964" w:type="dxa"/>
            <w:vAlign w:val="center"/>
          </w:tcPr>
          <w:p>
            <w:pPr>
              <w:pStyle w:val="13"/>
              <w:rPr>
                <w:sz w:val="18"/>
                <w:szCs w:val="18"/>
              </w:rPr>
            </w:pPr>
            <w:r>
              <w:rPr>
                <w:rFonts w:hint="eastAsia"/>
                <w:sz w:val="18"/>
                <w:szCs w:val="18"/>
              </w:rPr>
              <w:t>3.87</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其他柜类</w:t>
            </w:r>
          </w:p>
        </w:tc>
        <w:tc>
          <w:tcPr>
            <w:tcW w:w="1134" w:type="dxa"/>
            <w:vAlign w:val="center"/>
          </w:tcPr>
          <w:p>
            <w:pPr>
              <w:pStyle w:val="14"/>
              <w:rPr>
                <w:sz w:val="18"/>
                <w:szCs w:val="18"/>
              </w:rPr>
            </w:pPr>
            <w:r>
              <w:rPr>
                <w:rFonts w:hint="eastAsia"/>
                <w:sz w:val="18"/>
                <w:szCs w:val="18"/>
              </w:rPr>
              <w:t>A060599</w:t>
            </w:r>
          </w:p>
        </w:tc>
        <w:tc>
          <w:tcPr>
            <w:tcW w:w="709" w:type="dxa"/>
            <w:vAlign w:val="center"/>
          </w:tcPr>
          <w:p>
            <w:pPr>
              <w:pStyle w:val="15"/>
              <w:rPr>
                <w:sz w:val="18"/>
                <w:szCs w:val="18"/>
              </w:rPr>
            </w:pPr>
            <w:r>
              <w:rPr>
                <w:rFonts w:hint="eastAsia"/>
                <w:sz w:val="18"/>
                <w:szCs w:val="18"/>
              </w:rPr>
              <w:t>台</w:t>
            </w:r>
          </w:p>
        </w:tc>
        <w:tc>
          <w:tcPr>
            <w:tcW w:w="850" w:type="dxa"/>
            <w:vAlign w:val="center"/>
          </w:tcPr>
          <w:p>
            <w:pPr>
              <w:pStyle w:val="13"/>
              <w:rPr>
                <w:sz w:val="18"/>
                <w:szCs w:val="18"/>
              </w:rPr>
            </w:pPr>
            <w:r>
              <w:rPr>
                <w:rFonts w:hint="eastAsia"/>
                <w:sz w:val="18"/>
                <w:szCs w:val="18"/>
              </w:rPr>
              <w:t>1</w:t>
            </w:r>
          </w:p>
        </w:tc>
        <w:tc>
          <w:tcPr>
            <w:tcW w:w="850" w:type="dxa"/>
            <w:vAlign w:val="center"/>
          </w:tcPr>
          <w:p>
            <w:pPr>
              <w:pStyle w:val="13"/>
              <w:rPr>
                <w:sz w:val="18"/>
                <w:szCs w:val="18"/>
              </w:rPr>
            </w:pPr>
            <w:r>
              <w:rPr>
                <w:rFonts w:hint="eastAsia"/>
                <w:sz w:val="18"/>
                <w:szCs w:val="18"/>
              </w:rPr>
              <w:t>0.16</w:t>
            </w:r>
          </w:p>
        </w:tc>
        <w:tc>
          <w:tcPr>
            <w:tcW w:w="964" w:type="dxa"/>
            <w:vAlign w:val="center"/>
          </w:tcPr>
          <w:p>
            <w:pPr>
              <w:pStyle w:val="13"/>
              <w:rPr>
                <w:sz w:val="18"/>
                <w:szCs w:val="18"/>
              </w:rPr>
            </w:pPr>
            <w:r>
              <w:rPr>
                <w:rFonts w:hint="eastAsia"/>
                <w:sz w:val="18"/>
                <w:szCs w:val="18"/>
              </w:rPr>
              <w:t>0.16</w:t>
            </w:r>
          </w:p>
        </w:tc>
        <w:tc>
          <w:tcPr>
            <w:tcW w:w="964" w:type="dxa"/>
            <w:vAlign w:val="center"/>
          </w:tcPr>
          <w:p>
            <w:pPr>
              <w:pStyle w:val="13"/>
              <w:rPr>
                <w:sz w:val="18"/>
                <w:szCs w:val="18"/>
              </w:rPr>
            </w:pPr>
            <w:r>
              <w:rPr>
                <w:rFonts w:hint="eastAsia"/>
                <w:sz w:val="18"/>
                <w:szCs w:val="18"/>
              </w:rPr>
              <w:t>0.16</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其他家具用具</w:t>
            </w:r>
          </w:p>
        </w:tc>
        <w:tc>
          <w:tcPr>
            <w:tcW w:w="1134" w:type="dxa"/>
            <w:vAlign w:val="center"/>
          </w:tcPr>
          <w:p>
            <w:pPr>
              <w:pStyle w:val="14"/>
              <w:rPr>
                <w:sz w:val="18"/>
                <w:szCs w:val="18"/>
              </w:rPr>
            </w:pPr>
            <w:r>
              <w:rPr>
                <w:rFonts w:hint="eastAsia"/>
                <w:sz w:val="18"/>
                <w:szCs w:val="18"/>
              </w:rPr>
              <w:t>A0699</w:t>
            </w:r>
          </w:p>
        </w:tc>
        <w:tc>
          <w:tcPr>
            <w:tcW w:w="709" w:type="dxa"/>
            <w:vAlign w:val="center"/>
          </w:tcPr>
          <w:p>
            <w:pPr>
              <w:pStyle w:val="15"/>
              <w:rPr>
                <w:sz w:val="18"/>
                <w:szCs w:val="18"/>
              </w:rPr>
            </w:pPr>
            <w:r>
              <w:rPr>
                <w:rFonts w:hint="eastAsia"/>
                <w:sz w:val="18"/>
                <w:szCs w:val="18"/>
              </w:rPr>
              <w:t>张</w:t>
            </w:r>
          </w:p>
        </w:tc>
        <w:tc>
          <w:tcPr>
            <w:tcW w:w="850" w:type="dxa"/>
            <w:vAlign w:val="center"/>
          </w:tcPr>
          <w:p>
            <w:pPr>
              <w:pStyle w:val="13"/>
              <w:rPr>
                <w:sz w:val="18"/>
                <w:szCs w:val="18"/>
              </w:rPr>
            </w:pPr>
            <w:r>
              <w:rPr>
                <w:rFonts w:hint="eastAsia"/>
                <w:sz w:val="18"/>
                <w:szCs w:val="18"/>
              </w:rPr>
              <w:t>3</w:t>
            </w:r>
          </w:p>
        </w:tc>
        <w:tc>
          <w:tcPr>
            <w:tcW w:w="850" w:type="dxa"/>
            <w:vAlign w:val="center"/>
          </w:tcPr>
          <w:p>
            <w:pPr>
              <w:pStyle w:val="13"/>
              <w:rPr>
                <w:sz w:val="18"/>
                <w:szCs w:val="18"/>
              </w:rPr>
            </w:pPr>
            <w:r>
              <w:rPr>
                <w:rFonts w:hint="eastAsia"/>
                <w:sz w:val="18"/>
                <w:szCs w:val="18"/>
              </w:rPr>
              <w:t>0.08</w:t>
            </w:r>
          </w:p>
        </w:tc>
        <w:tc>
          <w:tcPr>
            <w:tcW w:w="964" w:type="dxa"/>
            <w:vAlign w:val="center"/>
          </w:tcPr>
          <w:p>
            <w:pPr>
              <w:pStyle w:val="13"/>
              <w:rPr>
                <w:sz w:val="18"/>
                <w:szCs w:val="18"/>
              </w:rPr>
            </w:pPr>
            <w:r>
              <w:rPr>
                <w:rFonts w:hint="eastAsia"/>
                <w:sz w:val="18"/>
                <w:szCs w:val="18"/>
              </w:rPr>
              <w:t>0.24</w:t>
            </w:r>
          </w:p>
        </w:tc>
        <w:tc>
          <w:tcPr>
            <w:tcW w:w="964" w:type="dxa"/>
            <w:vAlign w:val="center"/>
          </w:tcPr>
          <w:p>
            <w:pPr>
              <w:pStyle w:val="13"/>
              <w:rPr>
                <w:sz w:val="18"/>
                <w:szCs w:val="18"/>
              </w:rPr>
            </w:pPr>
            <w:r>
              <w:rPr>
                <w:rFonts w:hint="eastAsia"/>
                <w:sz w:val="18"/>
                <w:szCs w:val="18"/>
              </w:rPr>
              <w:t>0.24</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中心工作经费</w:t>
            </w:r>
          </w:p>
        </w:tc>
        <w:tc>
          <w:tcPr>
            <w:tcW w:w="766" w:type="dxa"/>
            <w:vAlign w:val="center"/>
          </w:tcPr>
          <w:p>
            <w:pPr>
              <w:pStyle w:val="13"/>
              <w:rPr>
                <w:sz w:val="18"/>
                <w:szCs w:val="18"/>
              </w:rPr>
            </w:pPr>
            <w:r>
              <w:rPr>
                <w:rFonts w:hint="eastAsia"/>
                <w:sz w:val="18"/>
                <w:szCs w:val="18"/>
              </w:rPr>
              <w:t>683.55</w:t>
            </w:r>
          </w:p>
        </w:tc>
        <w:tc>
          <w:tcPr>
            <w:tcW w:w="1134" w:type="dxa"/>
            <w:vAlign w:val="center"/>
          </w:tcPr>
          <w:p>
            <w:pPr>
              <w:pStyle w:val="14"/>
              <w:rPr>
                <w:sz w:val="18"/>
                <w:szCs w:val="18"/>
              </w:rPr>
            </w:pPr>
            <w:r>
              <w:rPr>
                <w:rFonts w:hint="eastAsia"/>
                <w:sz w:val="18"/>
                <w:szCs w:val="18"/>
              </w:rPr>
              <w:t>床褥单</w:t>
            </w:r>
          </w:p>
        </w:tc>
        <w:tc>
          <w:tcPr>
            <w:tcW w:w="1134" w:type="dxa"/>
            <w:vAlign w:val="center"/>
          </w:tcPr>
          <w:p>
            <w:pPr>
              <w:pStyle w:val="14"/>
              <w:rPr>
                <w:sz w:val="18"/>
                <w:szCs w:val="18"/>
              </w:rPr>
            </w:pPr>
            <w:r>
              <w:rPr>
                <w:rFonts w:hint="eastAsia"/>
                <w:sz w:val="18"/>
                <w:szCs w:val="18"/>
              </w:rPr>
              <w:t>A07030201</w:t>
            </w:r>
          </w:p>
        </w:tc>
        <w:tc>
          <w:tcPr>
            <w:tcW w:w="709" w:type="dxa"/>
            <w:vAlign w:val="center"/>
          </w:tcPr>
          <w:p>
            <w:pPr>
              <w:pStyle w:val="15"/>
              <w:rPr>
                <w:sz w:val="18"/>
                <w:szCs w:val="18"/>
              </w:rPr>
            </w:pPr>
            <w:r>
              <w:rPr>
                <w:rFonts w:hint="eastAsia"/>
                <w:sz w:val="18"/>
                <w:szCs w:val="18"/>
              </w:rPr>
              <w:t>张</w:t>
            </w:r>
          </w:p>
        </w:tc>
        <w:tc>
          <w:tcPr>
            <w:tcW w:w="850" w:type="dxa"/>
            <w:vAlign w:val="center"/>
          </w:tcPr>
          <w:p>
            <w:pPr>
              <w:pStyle w:val="13"/>
              <w:rPr>
                <w:sz w:val="18"/>
                <w:szCs w:val="18"/>
              </w:rPr>
            </w:pPr>
            <w:r>
              <w:rPr>
                <w:rFonts w:hint="eastAsia"/>
                <w:sz w:val="18"/>
                <w:szCs w:val="18"/>
              </w:rPr>
              <w:t>1</w:t>
            </w:r>
          </w:p>
        </w:tc>
        <w:tc>
          <w:tcPr>
            <w:tcW w:w="850" w:type="dxa"/>
            <w:vAlign w:val="center"/>
          </w:tcPr>
          <w:p>
            <w:pPr>
              <w:pStyle w:val="13"/>
              <w:rPr>
                <w:sz w:val="18"/>
                <w:szCs w:val="18"/>
              </w:rPr>
            </w:pPr>
            <w:r>
              <w:rPr>
                <w:rFonts w:hint="eastAsia"/>
                <w:sz w:val="18"/>
                <w:szCs w:val="18"/>
              </w:rPr>
              <w:t>0.10</w:t>
            </w:r>
          </w:p>
        </w:tc>
        <w:tc>
          <w:tcPr>
            <w:tcW w:w="964" w:type="dxa"/>
            <w:vAlign w:val="center"/>
          </w:tcPr>
          <w:p>
            <w:pPr>
              <w:pStyle w:val="13"/>
              <w:rPr>
                <w:sz w:val="18"/>
                <w:szCs w:val="18"/>
              </w:rPr>
            </w:pPr>
            <w:r>
              <w:rPr>
                <w:rFonts w:hint="eastAsia"/>
                <w:sz w:val="18"/>
                <w:szCs w:val="18"/>
              </w:rPr>
              <w:t>0.10</w:t>
            </w:r>
          </w:p>
        </w:tc>
        <w:tc>
          <w:tcPr>
            <w:tcW w:w="964" w:type="dxa"/>
            <w:vAlign w:val="center"/>
          </w:tcPr>
          <w:p>
            <w:pPr>
              <w:pStyle w:val="13"/>
              <w:rPr>
                <w:sz w:val="18"/>
                <w:szCs w:val="18"/>
              </w:rPr>
            </w:pPr>
            <w:r>
              <w:rPr>
                <w:rFonts w:hint="eastAsia"/>
                <w:sz w:val="18"/>
                <w:szCs w:val="18"/>
              </w:rPr>
              <w:t>0.10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pPr>
            <w:r>
              <w:rPr>
                <w:rFonts w:hint="eastAsia"/>
              </w:rPr>
              <w:t>中心工作经费</w:t>
            </w:r>
          </w:p>
        </w:tc>
        <w:tc>
          <w:tcPr>
            <w:tcW w:w="766" w:type="dxa"/>
            <w:vAlign w:val="center"/>
          </w:tcPr>
          <w:p>
            <w:pPr>
              <w:pStyle w:val="13"/>
            </w:pPr>
            <w:r>
              <w:rPr>
                <w:rFonts w:hint="eastAsia"/>
              </w:rPr>
              <w:t>683.55</w:t>
            </w:r>
          </w:p>
        </w:tc>
        <w:tc>
          <w:tcPr>
            <w:tcW w:w="1134" w:type="dxa"/>
            <w:vAlign w:val="center"/>
          </w:tcPr>
          <w:p>
            <w:pPr>
              <w:pStyle w:val="14"/>
            </w:pPr>
            <w:r>
              <w:rPr>
                <w:rFonts w:hint="eastAsia"/>
              </w:rPr>
              <w:t>门、门槛</w:t>
            </w:r>
          </w:p>
        </w:tc>
        <w:tc>
          <w:tcPr>
            <w:tcW w:w="1134" w:type="dxa"/>
            <w:vAlign w:val="center"/>
          </w:tcPr>
          <w:p>
            <w:pPr>
              <w:pStyle w:val="14"/>
            </w:pPr>
            <w:r>
              <w:rPr>
                <w:rFonts w:hint="eastAsia"/>
              </w:rPr>
              <w:t>A100701</w:t>
            </w:r>
          </w:p>
        </w:tc>
        <w:tc>
          <w:tcPr>
            <w:tcW w:w="709" w:type="dxa"/>
            <w:vAlign w:val="center"/>
          </w:tcPr>
          <w:p>
            <w:pPr>
              <w:pStyle w:val="15"/>
            </w:pPr>
            <w:r>
              <w:rPr>
                <w:rFonts w:hint="eastAsia"/>
              </w:rPr>
              <w:t>个</w:t>
            </w:r>
          </w:p>
        </w:tc>
        <w:tc>
          <w:tcPr>
            <w:tcW w:w="850" w:type="dxa"/>
            <w:vAlign w:val="center"/>
          </w:tcPr>
          <w:p>
            <w:pPr>
              <w:pStyle w:val="13"/>
            </w:pPr>
            <w:r>
              <w:rPr>
                <w:rFonts w:hint="eastAsia"/>
              </w:rPr>
              <w:t>1</w:t>
            </w:r>
          </w:p>
        </w:tc>
        <w:tc>
          <w:tcPr>
            <w:tcW w:w="850" w:type="dxa"/>
            <w:vAlign w:val="center"/>
          </w:tcPr>
          <w:p>
            <w:pPr>
              <w:pStyle w:val="13"/>
            </w:pPr>
            <w:r>
              <w:rPr>
                <w:rFonts w:hint="eastAsia"/>
              </w:rPr>
              <w:t>0.15</w:t>
            </w:r>
          </w:p>
        </w:tc>
        <w:tc>
          <w:tcPr>
            <w:tcW w:w="964" w:type="dxa"/>
            <w:vAlign w:val="center"/>
          </w:tcPr>
          <w:p>
            <w:pPr>
              <w:pStyle w:val="13"/>
            </w:pPr>
            <w:r>
              <w:rPr>
                <w:rFonts w:hint="eastAsia"/>
              </w:rPr>
              <w:t>0.15</w:t>
            </w:r>
          </w:p>
        </w:tc>
        <w:tc>
          <w:tcPr>
            <w:tcW w:w="964" w:type="dxa"/>
            <w:vAlign w:val="center"/>
          </w:tcPr>
          <w:p>
            <w:pPr>
              <w:pStyle w:val="13"/>
            </w:pPr>
            <w:r>
              <w:rPr>
                <w:rFonts w:hint="eastAsia"/>
              </w:rPr>
              <w:t>0.15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rPr>
                <w:rFonts w:hint="eastAsia"/>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pPr>
            <w:r>
              <w:rPr>
                <w:rFonts w:hint="eastAsia"/>
              </w:rPr>
              <w:t>办案综合保障经费</w:t>
            </w:r>
          </w:p>
        </w:tc>
        <w:tc>
          <w:tcPr>
            <w:tcW w:w="766" w:type="dxa"/>
            <w:vAlign w:val="center"/>
          </w:tcPr>
          <w:p>
            <w:pPr>
              <w:pStyle w:val="13"/>
            </w:pPr>
            <w:r>
              <w:rPr>
                <w:rFonts w:hint="eastAsia"/>
              </w:rPr>
              <w:t>700.00</w:t>
            </w:r>
          </w:p>
        </w:tc>
        <w:tc>
          <w:tcPr>
            <w:tcW w:w="1134" w:type="dxa"/>
            <w:vAlign w:val="center"/>
          </w:tcPr>
          <w:p>
            <w:pPr>
              <w:pStyle w:val="14"/>
            </w:pPr>
            <w:r>
              <w:rPr>
                <w:rFonts w:hint="eastAsia"/>
              </w:rPr>
              <w:t>其他服务</w:t>
            </w:r>
          </w:p>
        </w:tc>
        <w:tc>
          <w:tcPr>
            <w:tcW w:w="1134" w:type="dxa"/>
            <w:vAlign w:val="center"/>
          </w:tcPr>
          <w:p>
            <w:pPr>
              <w:pStyle w:val="14"/>
            </w:pPr>
            <w:r>
              <w:rPr>
                <w:rFonts w:hint="eastAsia"/>
              </w:rPr>
              <w:t>C99</w:t>
            </w:r>
          </w:p>
        </w:tc>
        <w:tc>
          <w:tcPr>
            <w:tcW w:w="709" w:type="dxa"/>
            <w:vAlign w:val="center"/>
          </w:tcPr>
          <w:p>
            <w:pPr>
              <w:pStyle w:val="15"/>
            </w:pPr>
            <w:r>
              <w:rPr>
                <w:rFonts w:hint="eastAsia"/>
              </w:rPr>
              <w:t>项</w:t>
            </w:r>
          </w:p>
        </w:tc>
        <w:tc>
          <w:tcPr>
            <w:tcW w:w="850" w:type="dxa"/>
            <w:vAlign w:val="center"/>
          </w:tcPr>
          <w:p>
            <w:pPr>
              <w:pStyle w:val="13"/>
            </w:pPr>
            <w:r>
              <w:rPr>
                <w:rFonts w:hint="eastAsia"/>
              </w:rPr>
              <w:t>1</w:t>
            </w:r>
          </w:p>
        </w:tc>
        <w:tc>
          <w:tcPr>
            <w:tcW w:w="850" w:type="dxa"/>
            <w:vAlign w:val="center"/>
          </w:tcPr>
          <w:p>
            <w:pPr>
              <w:pStyle w:val="13"/>
            </w:pPr>
            <w:r>
              <w:rPr>
                <w:rFonts w:hint="eastAsia"/>
              </w:rPr>
              <w:t>75.00</w:t>
            </w:r>
          </w:p>
        </w:tc>
        <w:tc>
          <w:tcPr>
            <w:tcW w:w="964" w:type="dxa"/>
            <w:vAlign w:val="center"/>
          </w:tcPr>
          <w:p>
            <w:pPr>
              <w:pStyle w:val="13"/>
            </w:pPr>
            <w:r>
              <w:rPr>
                <w:rFonts w:hint="eastAsia"/>
              </w:rPr>
              <w:t>75.00</w:t>
            </w:r>
          </w:p>
        </w:tc>
        <w:tc>
          <w:tcPr>
            <w:tcW w:w="964" w:type="dxa"/>
            <w:vAlign w:val="center"/>
          </w:tcPr>
          <w:p>
            <w:pPr>
              <w:pStyle w:val="13"/>
            </w:pPr>
            <w:r>
              <w:rPr>
                <w:rFonts w:hint="eastAsia"/>
              </w:rPr>
              <w:t>75.00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rPr>
                <w:rFonts w:hint="eastAsia"/>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设备购置经费</w:t>
            </w:r>
          </w:p>
        </w:tc>
        <w:tc>
          <w:tcPr>
            <w:tcW w:w="766" w:type="dxa"/>
            <w:vAlign w:val="center"/>
          </w:tcPr>
          <w:p>
            <w:pPr>
              <w:pStyle w:val="13"/>
              <w:rPr>
                <w:sz w:val="18"/>
                <w:szCs w:val="18"/>
              </w:rPr>
            </w:pPr>
            <w:r>
              <w:rPr>
                <w:rFonts w:hint="eastAsia"/>
                <w:sz w:val="18"/>
                <w:szCs w:val="18"/>
              </w:rPr>
              <w:t>50.00</w:t>
            </w:r>
          </w:p>
        </w:tc>
        <w:tc>
          <w:tcPr>
            <w:tcW w:w="1134" w:type="dxa"/>
            <w:vAlign w:val="center"/>
          </w:tcPr>
          <w:p>
            <w:pPr>
              <w:pStyle w:val="14"/>
              <w:rPr>
                <w:sz w:val="18"/>
                <w:szCs w:val="18"/>
              </w:rPr>
            </w:pPr>
            <w:r>
              <w:rPr>
                <w:rFonts w:hint="eastAsia"/>
                <w:sz w:val="18"/>
                <w:szCs w:val="18"/>
              </w:rPr>
              <w:t>其他通信设备</w:t>
            </w:r>
          </w:p>
        </w:tc>
        <w:tc>
          <w:tcPr>
            <w:tcW w:w="1134" w:type="dxa"/>
            <w:vAlign w:val="center"/>
          </w:tcPr>
          <w:p>
            <w:pPr>
              <w:pStyle w:val="14"/>
              <w:rPr>
                <w:sz w:val="18"/>
                <w:szCs w:val="18"/>
              </w:rPr>
            </w:pPr>
            <w:r>
              <w:rPr>
                <w:rFonts w:hint="eastAsia"/>
                <w:sz w:val="18"/>
                <w:szCs w:val="18"/>
              </w:rPr>
              <w:t>A020899</w:t>
            </w:r>
          </w:p>
        </w:tc>
        <w:tc>
          <w:tcPr>
            <w:tcW w:w="709" w:type="dxa"/>
            <w:vAlign w:val="center"/>
          </w:tcPr>
          <w:p>
            <w:pPr>
              <w:pStyle w:val="15"/>
              <w:rPr>
                <w:sz w:val="18"/>
                <w:szCs w:val="18"/>
              </w:rPr>
            </w:pPr>
            <w:r>
              <w:rPr>
                <w:rFonts w:hint="eastAsia"/>
                <w:sz w:val="18"/>
                <w:szCs w:val="18"/>
              </w:rPr>
              <w:t>个</w:t>
            </w:r>
          </w:p>
        </w:tc>
        <w:tc>
          <w:tcPr>
            <w:tcW w:w="850" w:type="dxa"/>
            <w:vAlign w:val="center"/>
          </w:tcPr>
          <w:p>
            <w:pPr>
              <w:pStyle w:val="13"/>
              <w:rPr>
                <w:sz w:val="18"/>
                <w:szCs w:val="18"/>
              </w:rPr>
            </w:pPr>
            <w:r>
              <w:rPr>
                <w:rFonts w:hint="eastAsia"/>
                <w:sz w:val="18"/>
                <w:szCs w:val="18"/>
              </w:rPr>
              <w:t>25</w:t>
            </w:r>
          </w:p>
        </w:tc>
        <w:tc>
          <w:tcPr>
            <w:tcW w:w="850" w:type="dxa"/>
            <w:vAlign w:val="center"/>
          </w:tcPr>
          <w:p>
            <w:pPr>
              <w:pStyle w:val="13"/>
              <w:rPr>
                <w:sz w:val="18"/>
                <w:szCs w:val="18"/>
              </w:rPr>
            </w:pPr>
            <w:r>
              <w:rPr>
                <w:rFonts w:hint="eastAsia"/>
                <w:sz w:val="18"/>
                <w:szCs w:val="18"/>
              </w:rPr>
              <w:t>0.20</w:t>
            </w:r>
          </w:p>
        </w:tc>
        <w:tc>
          <w:tcPr>
            <w:tcW w:w="964" w:type="dxa"/>
            <w:vAlign w:val="center"/>
          </w:tcPr>
          <w:p>
            <w:pPr>
              <w:pStyle w:val="13"/>
              <w:rPr>
                <w:sz w:val="18"/>
                <w:szCs w:val="18"/>
              </w:rPr>
            </w:pPr>
            <w:r>
              <w:rPr>
                <w:rFonts w:hint="eastAsia"/>
                <w:sz w:val="18"/>
                <w:szCs w:val="18"/>
              </w:rPr>
              <w:t>5.00</w:t>
            </w:r>
          </w:p>
        </w:tc>
        <w:tc>
          <w:tcPr>
            <w:tcW w:w="964" w:type="dxa"/>
            <w:vAlign w:val="center"/>
          </w:tcPr>
          <w:p>
            <w:pPr>
              <w:pStyle w:val="13"/>
              <w:rPr>
                <w:sz w:val="18"/>
                <w:szCs w:val="18"/>
              </w:rPr>
            </w:pPr>
            <w:r>
              <w:rPr>
                <w:rFonts w:hint="eastAsia"/>
                <w:sz w:val="18"/>
                <w:szCs w:val="18"/>
              </w:rPr>
              <w:t>5.00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设备购置经费</w:t>
            </w:r>
          </w:p>
        </w:tc>
        <w:tc>
          <w:tcPr>
            <w:tcW w:w="766" w:type="dxa"/>
            <w:vAlign w:val="center"/>
          </w:tcPr>
          <w:p>
            <w:pPr>
              <w:pStyle w:val="13"/>
              <w:rPr>
                <w:sz w:val="18"/>
                <w:szCs w:val="18"/>
              </w:rPr>
            </w:pPr>
            <w:r>
              <w:rPr>
                <w:rFonts w:hint="eastAsia"/>
                <w:sz w:val="18"/>
                <w:szCs w:val="18"/>
              </w:rPr>
              <w:t>50.00</w:t>
            </w:r>
          </w:p>
        </w:tc>
        <w:tc>
          <w:tcPr>
            <w:tcW w:w="1134" w:type="dxa"/>
            <w:vAlign w:val="center"/>
          </w:tcPr>
          <w:p>
            <w:pPr>
              <w:pStyle w:val="14"/>
              <w:rPr>
                <w:sz w:val="18"/>
                <w:szCs w:val="18"/>
              </w:rPr>
            </w:pPr>
            <w:r>
              <w:rPr>
                <w:rFonts w:hint="eastAsia"/>
                <w:sz w:val="18"/>
                <w:szCs w:val="18"/>
              </w:rPr>
              <w:t>自动成套控制系统</w:t>
            </w:r>
          </w:p>
        </w:tc>
        <w:tc>
          <w:tcPr>
            <w:tcW w:w="1134" w:type="dxa"/>
            <w:vAlign w:val="center"/>
          </w:tcPr>
          <w:p>
            <w:pPr>
              <w:pStyle w:val="14"/>
              <w:rPr>
                <w:sz w:val="18"/>
                <w:szCs w:val="18"/>
              </w:rPr>
            </w:pPr>
            <w:r>
              <w:rPr>
                <w:rFonts w:hint="eastAsia"/>
                <w:sz w:val="18"/>
                <w:szCs w:val="18"/>
              </w:rPr>
              <w:t>A02100111</w:t>
            </w:r>
          </w:p>
        </w:tc>
        <w:tc>
          <w:tcPr>
            <w:tcW w:w="709" w:type="dxa"/>
            <w:vAlign w:val="center"/>
          </w:tcPr>
          <w:p>
            <w:pPr>
              <w:pStyle w:val="15"/>
              <w:rPr>
                <w:sz w:val="18"/>
                <w:szCs w:val="18"/>
              </w:rPr>
            </w:pPr>
            <w:r>
              <w:rPr>
                <w:rFonts w:hint="eastAsia"/>
                <w:sz w:val="18"/>
                <w:szCs w:val="18"/>
              </w:rPr>
              <w:t>套</w:t>
            </w:r>
          </w:p>
        </w:tc>
        <w:tc>
          <w:tcPr>
            <w:tcW w:w="850" w:type="dxa"/>
            <w:vAlign w:val="center"/>
          </w:tcPr>
          <w:p>
            <w:pPr>
              <w:pStyle w:val="13"/>
              <w:rPr>
                <w:sz w:val="18"/>
                <w:szCs w:val="18"/>
              </w:rPr>
            </w:pPr>
            <w:r>
              <w:rPr>
                <w:rFonts w:hint="eastAsia"/>
                <w:sz w:val="18"/>
                <w:szCs w:val="18"/>
              </w:rPr>
              <w:t>5</w:t>
            </w:r>
          </w:p>
        </w:tc>
        <w:tc>
          <w:tcPr>
            <w:tcW w:w="850" w:type="dxa"/>
            <w:vAlign w:val="center"/>
          </w:tcPr>
          <w:p>
            <w:pPr>
              <w:pStyle w:val="13"/>
              <w:rPr>
                <w:sz w:val="18"/>
                <w:szCs w:val="18"/>
              </w:rPr>
            </w:pPr>
            <w:r>
              <w:rPr>
                <w:rFonts w:hint="eastAsia"/>
                <w:sz w:val="18"/>
                <w:szCs w:val="18"/>
              </w:rPr>
              <w:t>1.20</w:t>
            </w:r>
          </w:p>
        </w:tc>
        <w:tc>
          <w:tcPr>
            <w:tcW w:w="964" w:type="dxa"/>
            <w:vAlign w:val="center"/>
          </w:tcPr>
          <w:p>
            <w:pPr>
              <w:pStyle w:val="13"/>
              <w:rPr>
                <w:sz w:val="18"/>
                <w:szCs w:val="18"/>
              </w:rPr>
            </w:pPr>
            <w:r>
              <w:rPr>
                <w:rFonts w:hint="eastAsia"/>
                <w:sz w:val="18"/>
                <w:szCs w:val="18"/>
              </w:rPr>
              <w:t>6.00</w:t>
            </w:r>
          </w:p>
        </w:tc>
        <w:tc>
          <w:tcPr>
            <w:tcW w:w="964" w:type="dxa"/>
            <w:vAlign w:val="center"/>
          </w:tcPr>
          <w:p>
            <w:pPr>
              <w:pStyle w:val="13"/>
              <w:rPr>
                <w:sz w:val="18"/>
                <w:szCs w:val="18"/>
              </w:rPr>
            </w:pPr>
            <w:r>
              <w:rPr>
                <w:rFonts w:hint="eastAsia"/>
                <w:sz w:val="18"/>
                <w:szCs w:val="18"/>
              </w:rPr>
              <w:t>6.00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设备购置经费</w:t>
            </w:r>
          </w:p>
        </w:tc>
        <w:tc>
          <w:tcPr>
            <w:tcW w:w="766" w:type="dxa"/>
            <w:vAlign w:val="center"/>
          </w:tcPr>
          <w:p>
            <w:pPr>
              <w:pStyle w:val="13"/>
              <w:rPr>
                <w:sz w:val="18"/>
                <w:szCs w:val="18"/>
              </w:rPr>
            </w:pPr>
            <w:r>
              <w:rPr>
                <w:rFonts w:hint="eastAsia"/>
                <w:sz w:val="18"/>
                <w:szCs w:val="18"/>
              </w:rPr>
              <w:t>50.00</w:t>
            </w:r>
          </w:p>
        </w:tc>
        <w:tc>
          <w:tcPr>
            <w:tcW w:w="1134" w:type="dxa"/>
            <w:vAlign w:val="center"/>
          </w:tcPr>
          <w:p>
            <w:pPr>
              <w:pStyle w:val="14"/>
              <w:rPr>
                <w:sz w:val="18"/>
                <w:szCs w:val="18"/>
              </w:rPr>
            </w:pPr>
            <w:r>
              <w:rPr>
                <w:rFonts w:hint="eastAsia"/>
                <w:sz w:val="18"/>
                <w:szCs w:val="18"/>
              </w:rPr>
              <w:t>钢木床类</w:t>
            </w:r>
          </w:p>
        </w:tc>
        <w:tc>
          <w:tcPr>
            <w:tcW w:w="1134" w:type="dxa"/>
            <w:vAlign w:val="center"/>
          </w:tcPr>
          <w:p>
            <w:pPr>
              <w:pStyle w:val="14"/>
              <w:rPr>
                <w:sz w:val="18"/>
                <w:szCs w:val="18"/>
              </w:rPr>
            </w:pPr>
            <w:r>
              <w:rPr>
                <w:rFonts w:hint="eastAsia"/>
                <w:sz w:val="18"/>
                <w:szCs w:val="18"/>
              </w:rPr>
              <w:t>A060101</w:t>
            </w:r>
          </w:p>
        </w:tc>
        <w:tc>
          <w:tcPr>
            <w:tcW w:w="709" w:type="dxa"/>
            <w:vAlign w:val="center"/>
          </w:tcPr>
          <w:p>
            <w:pPr>
              <w:pStyle w:val="15"/>
              <w:rPr>
                <w:sz w:val="18"/>
                <w:szCs w:val="18"/>
              </w:rPr>
            </w:pPr>
            <w:r>
              <w:rPr>
                <w:rFonts w:hint="eastAsia"/>
                <w:sz w:val="18"/>
                <w:szCs w:val="18"/>
              </w:rPr>
              <w:t>个</w:t>
            </w:r>
          </w:p>
        </w:tc>
        <w:tc>
          <w:tcPr>
            <w:tcW w:w="850" w:type="dxa"/>
            <w:vAlign w:val="center"/>
          </w:tcPr>
          <w:p>
            <w:pPr>
              <w:pStyle w:val="13"/>
              <w:rPr>
                <w:sz w:val="18"/>
                <w:szCs w:val="18"/>
              </w:rPr>
            </w:pPr>
            <w:r>
              <w:rPr>
                <w:rFonts w:hint="eastAsia"/>
                <w:sz w:val="18"/>
                <w:szCs w:val="18"/>
              </w:rPr>
              <w:t>15</w:t>
            </w:r>
          </w:p>
        </w:tc>
        <w:tc>
          <w:tcPr>
            <w:tcW w:w="850" w:type="dxa"/>
            <w:vAlign w:val="center"/>
          </w:tcPr>
          <w:p>
            <w:pPr>
              <w:pStyle w:val="13"/>
              <w:rPr>
                <w:sz w:val="18"/>
                <w:szCs w:val="18"/>
              </w:rPr>
            </w:pPr>
            <w:r>
              <w:rPr>
                <w:rFonts w:hint="eastAsia"/>
                <w:sz w:val="18"/>
                <w:szCs w:val="18"/>
              </w:rPr>
              <w:t>0.08</w:t>
            </w:r>
          </w:p>
        </w:tc>
        <w:tc>
          <w:tcPr>
            <w:tcW w:w="964" w:type="dxa"/>
            <w:vAlign w:val="center"/>
          </w:tcPr>
          <w:p>
            <w:pPr>
              <w:pStyle w:val="13"/>
              <w:rPr>
                <w:sz w:val="18"/>
                <w:szCs w:val="18"/>
              </w:rPr>
            </w:pPr>
            <w:r>
              <w:rPr>
                <w:rFonts w:hint="eastAsia"/>
                <w:sz w:val="18"/>
                <w:szCs w:val="18"/>
              </w:rPr>
              <w:t>1.20</w:t>
            </w:r>
          </w:p>
        </w:tc>
        <w:tc>
          <w:tcPr>
            <w:tcW w:w="964" w:type="dxa"/>
            <w:vAlign w:val="center"/>
          </w:tcPr>
          <w:p>
            <w:pPr>
              <w:pStyle w:val="13"/>
              <w:rPr>
                <w:sz w:val="18"/>
                <w:szCs w:val="18"/>
              </w:rPr>
            </w:pPr>
            <w:r>
              <w:rPr>
                <w:rFonts w:hint="eastAsia"/>
                <w:sz w:val="18"/>
                <w:szCs w:val="18"/>
              </w:rPr>
              <w:t>1.20</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95" w:type="dxa"/>
            <w:vAlign w:val="center"/>
          </w:tcPr>
          <w:p>
            <w:pPr>
              <w:pStyle w:val="14"/>
              <w:rPr>
                <w:sz w:val="18"/>
                <w:szCs w:val="18"/>
              </w:rPr>
            </w:pPr>
            <w:r>
              <w:rPr>
                <w:rFonts w:hint="eastAsia"/>
                <w:sz w:val="18"/>
                <w:szCs w:val="18"/>
              </w:rPr>
              <w:t>办案楼改造经费</w:t>
            </w:r>
          </w:p>
        </w:tc>
        <w:tc>
          <w:tcPr>
            <w:tcW w:w="766" w:type="dxa"/>
            <w:vAlign w:val="center"/>
          </w:tcPr>
          <w:p>
            <w:pPr>
              <w:pStyle w:val="13"/>
              <w:rPr>
                <w:sz w:val="18"/>
                <w:szCs w:val="18"/>
              </w:rPr>
            </w:pPr>
            <w:r>
              <w:rPr>
                <w:rFonts w:hint="eastAsia"/>
                <w:sz w:val="18"/>
                <w:szCs w:val="18"/>
              </w:rPr>
              <w:t>120.36</w:t>
            </w:r>
          </w:p>
        </w:tc>
        <w:tc>
          <w:tcPr>
            <w:tcW w:w="1134" w:type="dxa"/>
            <w:vAlign w:val="center"/>
          </w:tcPr>
          <w:p>
            <w:pPr>
              <w:pStyle w:val="14"/>
              <w:rPr>
                <w:sz w:val="18"/>
                <w:szCs w:val="18"/>
              </w:rPr>
            </w:pPr>
          </w:p>
        </w:tc>
        <w:tc>
          <w:tcPr>
            <w:tcW w:w="1134" w:type="dxa"/>
            <w:vAlign w:val="center"/>
          </w:tcPr>
          <w:p>
            <w:pPr>
              <w:pStyle w:val="14"/>
              <w:rPr>
                <w:sz w:val="18"/>
                <w:szCs w:val="18"/>
              </w:rPr>
            </w:pPr>
          </w:p>
        </w:tc>
        <w:tc>
          <w:tcPr>
            <w:tcW w:w="709" w:type="dxa"/>
            <w:vAlign w:val="center"/>
          </w:tcPr>
          <w:p>
            <w:pPr>
              <w:pStyle w:val="15"/>
              <w:rPr>
                <w:sz w:val="18"/>
                <w:szCs w:val="18"/>
              </w:rPr>
            </w:pPr>
          </w:p>
        </w:tc>
        <w:tc>
          <w:tcPr>
            <w:tcW w:w="850" w:type="dxa"/>
            <w:vAlign w:val="center"/>
          </w:tcPr>
          <w:p>
            <w:pPr>
              <w:pStyle w:val="13"/>
              <w:rPr>
                <w:sz w:val="18"/>
                <w:szCs w:val="18"/>
              </w:rPr>
            </w:pPr>
          </w:p>
        </w:tc>
        <w:tc>
          <w:tcPr>
            <w:tcW w:w="850"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120.36</w:t>
            </w: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p>
        </w:tc>
        <w:tc>
          <w:tcPr>
            <w:tcW w:w="964" w:type="dxa"/>
            <w:vAlign w:val="center"/>
          </w:tcPr>
          <w:p>
            <w:pPr>
              <w:pStyle w:val="13"/>
              <w:rPr>
                <w:sz w:val="18"/>
                <w:szCs w:val="18"/>
              </w:rPr>
            </w:pPr>
            <w:r>
              <w:rPr>
                <w:rFonts w:hint="eastAsia"/>
                <w:sz w:val="18"/>
                <w:szCs w:val="18"/>
              </w:rPr>
              <w:t>120.36</w:t>
            </w:r>
          </w:p>
        </w:tc>
        <w:tc>
          <w:tcPr>
            <w:tcW w:w="964" w:type="dxa"/>
            <w:vAlign w:val="center"/>
          </w:tcPr>
          <w:p>
            <w:pPr>
              <w:pStyle w:val="13"/>
              <w:rPr>
                <w:sz w:val="18"/>
                <w:szCs w:val="18"/>
              </w:rPr>
            </w:pPr>
          </w:p>
        </w:tc>
        <w:tc>
          <w:tcPr>
            <w:tcW w:w="964" w:type="dxa"/>
            <w:vAlign w:val="center"/>
          </w:tcPr>
          <w:p>
            <w:pPr>
              <w:pStyle w:val="13"/>
              <w:rPr>
                <w:sz w:val="18"/>
                <w:szCs w:val="18"/>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中国共产党廊坊市纪律检查委员会</w:t>
      </w:r>
      <w:r>
        <w:rPr>
          <w:rFonts w:ascii="Times New Roman" w:hAnsi="Times New Roman" w:eastAsia="仿宋_GB2312" w:cs="Times New Roman"/>
          <w:sz w:val="32"/>
          <w:szCs w:val="32"/>
        </w:rPr>
        <w:t xml:space="preserve">  （含所属单位）上年末固定资产金额为15389.050031万元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总额为137.55万元，</w:t>
      </w:r>
      <w:r>
        <w:rPr>
          <w:rFonts w:ascii="Times New Roman" w:hAnsi="Times New Roman" w:eastAsia="仿宋_GB2312" w:cs="Times New Roman"/>
          <w:sz w:val="32"/>
          <w:szCs w:val="32"/>
        </w:rPr>
        <w:t>主要为计算机设备、打印设备、</w:t>
      </w:r>
      <w:r>
        <w:rPr>
          <w:rFonts w:hint="eastAsia" w:ascii="Times New Roman" w:hAnsi="Times New Roman" w:eastAsia="仿宋_GB2312" w:cs="Times New Roman"/>
          <w:sz w:val="32"/>
          <w:szCs w:val="32"/>
        </w:rPr>
        <w:t>复印设备、对讲机、家具用具</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 xml:space="preserve">编制部门：中国共产党廊坊市纪律检查委员会 </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截止时间：2021年12月31日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b/>
                <w:bCs/>
                <w:kern w:val="0"/>
                <w:szCs w:val="21"/>
              </w:rPr>
            </w:pPr>
            <w:r>
              <w:rPr>
                <w:rFonts w:hint="eastAsia" w:ascii="方正书宋_GBK" w:hAnsi="Times New Roman" w:eastAsia="方正书宋_GBK" w:cs="Times New Roman"/>
                <w:b/>
                <w:bCs/>
                <w:kern w:val="0"/>
                <w:szCs w:val="21"/>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b/>
                <w:bCs/>
                <w:kern w:val="0"/>
                <w:szCs w:val="21"/>
              </w:rPr>
            </w:pPr>
            <w:r>
              <w:rPr>
                <w:rFonts w:hint="eastAsia" w:ascii="方正书宋_GBK" w:hAnsi="Times New Roman" w:eastAsia="方正书宋_GBK" w:cs="Times New Roman"/>
                <w:b/>
                <w:bCs/>
                <w:kern w:val="0"/>
                <w:szCs w:val="21"/>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b/>
                <w:bCs/>
                <w:kern w:val="0"/>
                <w:szCs w:val="21"/>
              </w:rPr>
            </w:pPr>
            <w:r>
              <w:rPr>
                <w:rFonts w:hint="eastAsia" w:ascii="方正书宋_GBK" w:hAnsi="Times New Roman" w:eastAsia="方正书宋_GBK" w:cs="Times New Roman"/>
                <w:b/>
                <w:bCs/>
                <w:kern w:val="0"/>
                <w:szCs w:val="21"/>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15389.05003</w:t>
            </w:r>
          </w:p>
          <w:p>
            <w:pPr>
              <w:spacing w:line="584" w:lineRule="exact"/>
              <w:jc w:val="center"/>
              <w:rPr>
                <w:rFonts w:ascii="方正书宋_GBK" w:hAnsi="Times New Roman" w:eastAsia="方正书宋_GBK" w:cs="Times New Roman"/>
                <w:szCs w:val="21"/>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rPr>
                <w:rFonts w:ascii="方正书宋_GBK" w:hAnsi="Times New Roman" w:eastAsia="方正书宋_GBK" w:cs="Times New Roman"/>
                <w:szCs w:val="21"/>
              </w:rPr>
            </w:pPr>
            <w:r>
              <w:rPr>
                <w:rFonts w:hint="eastAsia" w:ascii="方正书宋_GBK" w:hAnsi="Times New Roman" w:eastAsia="方正书宋_GBK" w:cs="Times New Roman"/>
                <w:szCs w:val="21"/>
              </w:rPr>
              <w:t xml:space="preserve">          29607.66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9378.343669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35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606.122235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1141.475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方正书宋_GBK" w:hAnsi="Times New Roman" w:eastAsia="方正书宋_GBK" w:cs="Times New Roman"/>
                <w:kern w:val="0"/>
                <w:szCs w:val="21"/>
              </w:rPr>
            </w:pPr>
            <w:r>
              <w:rPr>
                <w:rFonts w:hint="eastAsia" w:ascii="方正书宋_GBK" w:hAnsi="Times New Roman" w:eastAsia="方正书宋_GBK" w:cs="Times New Roman"/>
                <w:kern w:val="0"/>
                <w:szCs w:val="21"/>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方正书宋_GBK" w:hAnsi="Times New Roman" w:eastAsia="方正书宋_GBK" w:cs="Times New Roman"/>
                <w:szCs w:val="21"/>
              </w:rPr>
            </w:pPr>
            <w:r>
              <w:rPr>
                <w:rFonts w:hint="eastAsia" w:ascii="方正书宋_GBK" w:hAnsi="Times New Roman" w:eastAsia="方正书宋_GBK" w:cs="Times New Roman"/>
                <w:szCs w:val="21"/>
              </w:rPr>
              <w:t>4263.109127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我部门无其他需要说明的</w:t>
      </w:r>
      <w:r>
        <w:rPr>
          <w:rFonts w:hint="eastAsia" w:ascii="Times New Roman" w:hAnsi="Times New Roman" w:eastAsia="仿宋_GB2312" w:cs="Times New Roman"/>
          <w:sz w:val="32"/>
          <w:szCs w:val="32"/>
          <w:lang w:eastAsia="zh-CN"/>
        </w:rPr>
        <w:t>事项。</w:t>
      </w:r>
      <w:bookmarkStart w:id="3" w:name="_GoBack"/>
      <w:bookmarkEnd w:id="3"/>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GM0NDVjMzZhMjIzODdjM2Y5MWQ4NzEyMWU3OTZkZjUifQ=="/>
  </w:docVars>
  <w:rsids>
    <w:rsidRoot w:val="00D347CC"/>
    <w:rsid w:val="000230E6"/>
    <w:rsid w:val="000D60DA"/>
    <w:rsid w:val="00106DA9"/>
    <w:rsid w:val="00133A21"/>
    <w:rsid w:val="001B58FF"/>
    <w:rsid w:val="0025632D"/>
    <w:rsid w:val="002C1D72"/>
    <w:rsid w:val="003B11F5"/>
    <w:rsid w:val="004A54AA"/>
    <w:rsid w:val="004B4B12"/>
    <w:rsid w:val="004E71F9"/>
    <w:rsid w:val="005173EF"/>
    <w:rsid w:val="00576BC3"/>
    <w:rsid w:val="005E14B1"/>
    <w:rsid w:val="005F3C9B"/>
    <w:rsid w:val="00606C2F"/>
    <w:rsid w:val="006603C6"/>
    <w:rsid w:val="00675014"/>
    <w:rsid w:val="007708C2"/>
    <w:rsid w:val="00785E10"/>
    <w:rsid w:val="007A1CD1"/>
    <w:rsid w:val="007B17B5"/>
    <w:rsid w:val="009353B1"/>
    <w:rsid w:val="00941FBD"/>
    <w:rsid w:val="00944233"/>
    <w:rsid w:val="009B00A6"/>
    <w:rsid w:val="00A25B6C"/>
    <w:rsid w:val="00A73902"/>
    <w:rsid w:val="00AC18DF"/>
    <w:rsid w:val="00AC666E"/>
    <w:rsid w:val="00AF0405"/>
    <w:rsid w:val="00B210EC"/>
    <w:rsid w:val="00B40732"/>
    <w:rsid w:val="00B62043"/>
    <w:rsid w:val="00B80935"/>
    <w:rsid w:val="00C659AF"/>
    <w:rsid w:val="00CB0F34"/>
    <w:rsid w:val="00D347CC"/>
    <w:rsid w:val="00DA50B6"/>
    <w:rsid w:val="00DE43D3"/>
    <w:rsid w:val="00F52EA4"/>
    <w:rsid w:val="00F7384F"/>
    <w:rsid w:val="114D1110"/>
    <w:rsid w:val="1AFE6AE4"/>
    <w:rsid w:val="2DF340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79D7-9C72-43B2-A007-7D3194372B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11293</Words>
  <Characters>12465</Characters>
  <Lines>102</Lines>
  <Paragraphs>28</Paragraphs>
  <TotalTime>8937</TotalTime>
  <ScaleCrop>false</ScaleCrop>
  <LinksUpToDate>false</LinksUpToDate>
  <CharactersWithSpaces>12645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2022-01-25T03:38:24Z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07047B06792C4F19B50E5B1FA48931F7_12</vt:lpwstr>
  </property>
</Properties>
</file>